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94" w:lineRule="exact"/>
        <w:jc w:val="left"/>
        <w:rPr>
          <w:rFonts w:ascii="Times New Roman" w:hAnsi="Times New Roman" w:eastAsia="黑体"/>
          <w:spacing w:val="-12"/>
          <w:sz w:val="44"/>
          <w:szCs w:val="44"/>
        </w:rPr>
      </w:pPr>
      <w:bookmarkStart w:id="7" w:name="_GoBack"/>
      <w:bookmarkEnd w:id="7"/>
      <w:r>
        <w:rPr>
          <w:rFonts w:ascii="Times New Roman" w:hAnsi="Times New Roman" w:eastAsia="黑体"/>
          <w:sz w:val="32"/>
          <w:szCs w:val="32"/>
        </w:rPr>
        <w:t>附件</w:t>
      </w:r>
      <w:r>
        <w:rPr>
          <w:rFonts w:hint="eastAsia" w:ascii="Times New Roman" w:hAnsi="Times New Roman" w:eastAsia="黑体"/>
          <w:sz w:val="32"/>
          <w:szCs w:val="32"/>
        </w:rPr>
        <w:t>1</w:t>
      </w:r>
    </w:p>
    <w:p>
      <w:pPr>
        <w:autoSpaceDE w:val="0"/>
        <w:spacing w:line="594" w:lineRule="exact"/>
        <w:jc w:val="center"/>
        <w:rPr>
          <w:rFonts w:ascii="Times New Roman" w:hAnsi="Times New Roman" w:eastAsia="方正小标宋简体"/>
          <w:spacing w:val="-12"/>
          <w:sz w:val="44"/>
          <w:szCs w:val="44"/>
        </w:rPr>
      </w:pPr>
      <w:r>
        <w:rPr>
          <w:rFonts w:hint="eastAsia" w:ascii="Times New Roman" w:hAnsi="Times New Roman" w:eastAsia="方正小标宋简体"/>
          <w:spacing w:val="-12"/>
          <w:sz w:val="44"/>
          <w:szCs w:val="44"/>
        </w:rPr>
        <w:t>部分不合格检验项目小知识</w:t>
      </w:r>
    </w:p>
    <w:p>
      <w:pPr>
        <w:autoSpaceDE w:val="0"/>
        <w:spacing w:line="594" w:lineRule="exact"/>
        <w:jc w:val="left"/>
        <w:rPr>
          <w:rFonts w:ascii="Times New Roman" w:hAnsi="Times New Roman" w:eastAsia="方正小标宋简体"/>
          <w:spacing w:val="-12"/>
          <w:sz w:val="44"/>
          <w:szCs w:val="44"/>
        </w:rPr>
      </w:pPr>
    </w:p>
    <w:p>
      <w:pPr>
        <w:spacing w:line="594" w:lineRule="exact"/>
        <w:ind w:firstLine="640" w:firstLineChars="200"/>
        <w:rPr>
          <w:rFonts w:eastAsia="黑体"/>
          <w:sz w:val="32"/>
          <w:szCs w:val="32"/>
        </w:rPr>
      </w:pPr>
      <w:r>
        <w:rPr>
          <w:rFonts w:hint="eastAsia" w:ascii="黑体" w:hAnsi="黑体" w:eastAsia="黑体"/>
          <w:spacing w:val="0"/>
          <w:sz w:val="32"/>
          <w:szCs w:val="32"/>
        </w:rPr>
        <w:t>一、</w:t>
      </w:r>
      <w:r>
        <w:rPr>
          <w:rFonts w:hint="eastAsia" w:eastAsia="黑体"/>
          <w:sz w:val="32"/>
          <w:szCs w:val="32"/>
        </w:rPr>
        <w:t>菌落总数</w:t>
      </w:r>
    </w:p>
    <w:p>
      <w:pPr>
        <w:spacing w:line="594" w:lineRule="exact"/>
        <w:ind w:firstLine="640" w:firstLineChars="200"/>
        <w:rPr>
          <w:rFonts w:hint="eastAsia" w:eastAsia="仿宋_GB2312"/>
          <w:sz w:val="32"/>
          <w:szCs w:val="32"/>
        </w:rPr>
      </w:pPr>
      <w:r>
        <w:rPr>
          <w:rFonts w:hint="eastAsia" w:eastAsia="仿宋_GB231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w:t>
      </w:r>
      <w:r>
        <w:rPr>
          <w:rFonts w:eastAsia="仿宋_GB2312"/>
          <w:sz w:val="32"/>
          <w:szCs w:val="32"/>
        </w:rPr>
        <w:t xml:space="preserve"> </w:t>
      </w:r>
      <w:r>
        <w:rPr>
          <w:rFonts w:hint="eastAsia" w:eastAsia="仿宋_GB2312"/>
          <w:sz w:val="32"/>
          <w:szCs w:val="32"/>
        </w:rPr>
        <w:t>蜂蜜》（</w:t>
      </w:r>
      <w:r>
        <w:rPr>
          <w:rFonts w:ascii="Times New Roman" w:hAnsi="Times New Roman" w:eastAsia="仿宋_GB2312"/>
          <w:sz w:val="32"/>
          <w:szCs w:val="32"/>
        </w:rPr>
        <w:t>GB 14963</w:t>
      </w:r>
      <w:r>
        <w:rPr>
          <w:rFonts w:hint="eastAsia" w:ascii="仿宋_GB2312" w:hAnsi="Times New Roman" w:eastAsia="仿宋_GB2312"/>
          <w:sz w:val="32"/>
          <w:szCs w:val="32"/>
        </w:rPr>
        <w:t>—</w:t>
      </w:r>
      <w:r>
        <w:rPr>
          <w:rFonts w:ascii="Times New Roman" w:hAnsi="Times New Roman" w:eastAsia="仿宋_GB2312"/>
          <w:sz w:val="32"/>
          <w:szCs w:val="32"/>
        </w:rPr>
        <w:t>2011</w:t>
      </w:r>
      <w:r>
        <w:rPr>
          <w:rFonts w:hint="eastAsia" w:eastAsia="仿宋_GB2312"/>
          <w:sz w:val="32"/>
          <w:szCs w:val="32"/>
        </w:rPr>
        <w:t>）中规定，蜂蜜中菌落总数不得超过</w:t>
      </w:r>
      <w:r>
        <w:rPr>
          <w:rFonts w:ascii="Times New Roman" w:hAnsi="Times New Roman" w:eastAsia="仿宋_GB2312"/>
          <w:sz w:val="32"/>
          <w:szCs w:val="32"/>
        </w:rPr>
        <w:t>1000CFU/g</w:t>
      </w:r>
      <w:r>
        <w:rPr>
          <w:rFonts w:hint="eastAsia"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食品安全国家标准 食醋</w:t>
      </w:r>
      <w:r>
        <w:rPr>
          <w:rFonts w:ascii="Times New Roman" w:hAnsi="Times New Roman" w:eastAsia="仿宋_GB2312"/>
          <w:sz w:val="32"/>
          <w:szCs w:val="32"/>
        </w:rPr>
        <w:t>》（GB 271</w:t>
      </w:r>
      <w:r>
        <w:rPr>
          <w:rFonts w:hint="eastAsia" w:ascii="Times New Roman" w:hAnsi="Times New Roman" w:eastAsia="仿宋_GB2312"/>
          <w:sz w:val="32"/>
          <w:szCs w:val="32"/>
        </w:rPr>
        <w:t>9</w:t>
      </w:r>
      <w:r>
        <w:rPr>
          <w:rFonts w:hint="eastAsia" w:ascii="仿宋_GB2312" w:hAnsi="Times New Roman" w:eastAsia="仿宋_GB2312"/>
          <w:sz w:val="32"/>
          <w:szCs w:val="32"/>
        </w:rPr>
        <w:t>—</w:t>
      </w:r>
      <w:r>
        <w:rPr>
          <w:rFonts w:ascii="Times New Roman" w:hAnsi="Times New Roman" w:eastAsia="仿宋_GB2312"/>
          <w:sz w:val="32"/>
          <w:szCs w:val="32"/>
        </w:rPr>
        <w:t>2018）中规定，</w:t>
      </w:r>
      <w:r>
        <w:rPr>
          <w:rFonts w:hint="eastAsia" w:ascii="Times New Roman" w:hAnsi="Times New Roman" w:eastAsia="仿宋_GB2312"/>
          <w:sz w:val="32"/>
          <w:szCs w:val="32"/>
        </w:rPr>
        <w:t>食醋中</w:t>
      </w:r>
      <w:r>
        <w:rPr>
          <w:rFonts w:eastAsia="仿宋_GB2312"/>
          <w:sz w:val="32"/>
          <w:szCs w:val="32"/>
        </w:rPr>
        <w:t>同一批次产品</w:t>
      </w:r>
      <w:r>
        <w:rPr>
          <w:rFonts w:ascii="Times New Roman" w:hAnsi="Times New Roman" w:eastAsia="仿宋_GB2312"/>
          <w:sz w:val="32"/>
          <w:szCs w:val="32"/>
        </w:rPr>
        <w:t>5</w:t>
      </w:r>
      <w:r>
        <w:rPr>
          <w:rFonts w:eastAsia="仿宋_GB2312"/>
          <w:sz w:val="32"/>
          <w:szCs w:val="32"/>
        </w:rPr>
        <w:t>个样品的</w:t>
      </w:r>
      <w:r>
        <w:rPr>
          <w:rFonts w:hint="eastAsia" w:eastAsia="仿宋_GB2312"/>
          <w:sz w:val="32"/>
          <w:szCs w:val="32"/>
        </w:rPr>
        <w:t>菌落总数检测结果</w:t>
      </w:r>
      <w:r>
        <w:rPr>
          <w:rFonts w:ascii="Times New Roman" w:hAnsi="Times New Roman" w:eastAsia="仿宋_GB2312"/>
          <w:sz w:val="32"/>
          <w:szCs w:val="32"/>
        </w:rPr>
        <w:t>均不得超过10</w:t>
      </w:r>
      <w:r>
        <w:rPr>
          <w:rFonts w:ascii="Times New Roman" w:hAnsi="Times New Roman" w:eastAsia="仿宋_GB2312"/>
          <w:sz w:val="32"/>
          <w:szCs w:val="32"/>
          <w:vertAlign w:val="superscript"/>
        </w:rPr>
        <w:t>4</w:t>
      </w:r>
      <w:r>
        <w:rPr>
          <w:rFonts w:ascii="Times New Roman" w:hAnsi="Times New Roman" w:eastAsia="仿宋_GB2312"/>
          <w:sz w:val="32"/>
          <w:szCs w:val="32"/>
        </w:rPr>
        <w:t>CFU/mL，且最多允许</w:t>
      </w:r>
      <w:r>
        <w:rPr>
          <w:rFonts w:hint="eastAsia" w:ascii="Times New Roman" w:hAnsi="Times New Roman" w:eastAsia="仿宋_GB2312"/>
          <w:sz w:val="32"/>
          <w:szCs w:val="32"/>
        </w:rPr>
        <w:t>2个样品的</w:t>
      </w:r>
      <w:r>
        <w:rPr>
          <w:rFonts w:ascii="Times New Roman" w:hAnsi="Times New Roman" w:eastAsia="仿宋_GB2312"/>
          <w:color w:val="000000" w:themeColor="text1"/>
          <w:sz w:val="32"/>
          <w:szCs w:val="32"/>
          <w14:textFill>
            <w14:solidFill>
              <w14:schemeClr w14:val="tx1"/>
            </w14:solidFill>
          </w14:textFill>
        </w:rPr>
        <w:t>检测结果超过</w:t>
      </w:r>
      <w:r>
        <w:rPr>
          <w:rFonts w:ascii="Times New Roman" w:hAnsi="Times New Roman" w:eastAsia="仿宋_GB2312"/>
          <w:sz w:val="32"/>
          <w:szCs w:val="32"/>
        </w:rPr>
        <w:t>10</w:t>
      </w:r>
      <w:r>
        <w:rPr>
          <w:rFonts w:ascii="Times New Roman" w:hAnsi="Times New Roman" w:eastAsia="仿宋_GB2312"/>
          <w:sz w:val="32"/>
          <w:szCs w:val="32"/>
          <w:vertAlign w:val="superscript"/>
        </w:rPr>
        <w:t>3</w:t>
      </w:r>
      <w:r>
        <w:rPr>
          <w:rFonts w:ascii="Times New Roman" w:hAnsi="Times New Roman" w:eastAsia="仿宋_GB2312"/>
          <w:sz w:val="32"/>
          <w:szCs w:val="32"/>
        </w:rPr>
        <w:t>CFU/mL。</w:t>
      </w:r>
      <w:r>
        <w:rPr>
          <w:rFonts w:hint="eastAsia" w:ascii="Times New Roman" w:hAnsi="Times New Roman" w:eastAsia="仿宋_GB2312"/>
          <w:sz w:val="32"/>
          <w:szCs w:val="32"/>
        </w:rPr>
        <w:t>《食品安全国家标准 糕点、面包》（GB 7099—2015）</w:t>
      </w:r>
      <w:r>
        <w:rPr>
          <w:rFonts w:hint="eastAsia" w:eastAsia="仿宋_GB2312"/>
          <w:sz w:val="32"/>
          <w:szCs w:val="32"/>
        </w:rPr>
        <w:t>中规定，糕点中同一批次产品</w:t>
      </w:r>
      <w:r>
        <w:rPr>
          <w:rFonts w:ascii="Times New Roman" w:hAnsi="Times New Roman" w:eastAsia="仿宋_GB2312"/>
          <w:sz w:val="32"/>
          <w:szCs w:val="32"/>
        </w:rPr>
        <w:t>5</w:t>
      </w:r>
      <w:r>
        <w:rPr>
          <w:rFonts w:hint="eastAsia" w:eastAsia="仿宋_GB2312"/>
          <w:sz w:val="32"/>
          <w:szCs w:val="32"/>
        </w:rPr>
        <w:t>个样品的菌落总数检测结果均不得超过</w:t>
      </w:r>
      <w:r>
        <w:rPr>
          <w:rFonts w:hint="eastAsia" w:ascii="Times New Roman" w:hAnsi="Times New Roman" w:eastAsia="仿宋_GB2312"/>
          <w:sz w:val="32"/>
          <w:szCs w:val="32"/>
        </w:rPr>
        <w:t>10</w:t>
      </w:r>
      <w:r>
        <w:rPr>
          <w:rFonts w:hint="eastAsia" w:ascii="Times New Roman" w:hAnsi="Times New Roman" w:eastAsia="仿宋_GB2312"/>
          <w:sz w:val="32"/>
          <w:szCs w:val="32"/>
          <w:vertAlign w:val="superscript"/>
        </w:rPr>
        <w:t>5</w:t>
      </w:r>
      <w:r>
        <w:rPr>
          <w:rFonts w:hint="eastAsia" w:ascii="Times New Roman" w:hAnsi="Times New Roman" w:eastAsia="仿宋_GB2312"/>
          <w:sz w:val="32"/>
          <w:szCs w:val="32"/>
        </w:rPr>
        <w:t>CFU/g</w:t>
      </w:r>
      <w:r>
        <w:rPr>
          <w:rFonts w:hint="eastAsia" w:eastAsia="仿宋_GB2312"/>
          <w:sz w:val="32"/>
          <w:szCs w:val="32"/>
        </w:rPr>
        <w:t>，</w:t>
      </w:r>
      <w:r>
        <w:rPr>
          <w:rFonts w:ascii="Times New Roman" w:hAnsi="Times New Roman" w:eastAsia="仿宋_GB2312"/>
          <w:sz w:val="32"/>
          <w:szCs w:val="32"/>
        </w:rPr>
        <w:t>且最多允许</w:t>
      </w:r>
      <w:r>
        <w:rPr>
          <w:rFonts w:hint="eastAsia" w:ascii="Times New Roman" w:hAnsi="Times New Roman" w:eastAsia="仿宋_GB2312"/>
          <w:sz w:val="32"/>
          <w:szCs w:val="32"/>
        </w:rPr>
        <w:t>2个样品的</w:t>
      </w:r>
      <w:r>
        <w:rPr>
          <w:rFonts w:ascii="Times New Roman" w:hAnsi="Times New Roman" w:eastAsia="仿宋_GB2312"/>
          <w:color w:val="000000" w:themeColor="text1"/>
          <w:sz w:val="32"/>
          <w:szCs w:val="32"/>
          <w14:textFill>
            <w14:solidFill>
              <w14:schemeClr w14:val="tx1"/>
            </w14:solidFill>
          </w14:textFill>
        </w:rPr>
        <w:t>检测结果超过</w:t>
      </w:r>
      <w:r>
        <w:rPr>
          <w:rFonts w:hint="eastAsia" w:ascii="Times New Roman" w:hAnsi="Times New Roman" w:eastAsia="仿宋_GB2312"/>
          <w:sz w:val="32"/>
          <w:szCs w:val="32"/>
        </w:rPr>
        <w:t>10</w:t>
      </w:r>
      <w:r>
        <w:rPr>
          <w:rFonts w:ascii="Times New Roman" w:hAnsi="Times New Roman" w:eastAsia="仿宋_GB2312"/>
          <w:sz w:val="32"/>
          <w:szCs w:val="32"/>
          <w:vertAlign w:val="superscript"/>
        </w:rPr>
        <w:t>4</w:t>
      </w:r>
      <w:r>
        <w:rPr>
          <w:rFonts w:hint="eastAsia" w:ascii="Times New Roman" w:hAnsi="Times New Roman" w:eastAsia="仿宋_GB2312"/>
          <w:sz w:val="32"/>
          <w:szCs w:val="32"/>
        </w:rPr>
        <w:t>CFU/g</w:t>
      </w:r>
      <w:r>
        <w:rPr>
          <w:rFonts w:hint="eastAsia" w:eastAsia="仿宋_GB2312"/>
          <w:sz w:val="32"/>
          <w:szCs w:val="32"/>
        </w:rPr>
        <w:t>。</w:t>
      </w:r>
      <w:r>
        <w:rPr>
          <w:rFonts w:hint="eastAsia" w:ascii="Times New Roman" w:hAnsi="Times New Roman" w:eastAsia="仿宋_GB2312"/>
          <w:sz w:val="32"/>
          <w:szCs w:val="32"/>
        </w:rPr>
        <w:t>《食品安全国家标准 膨化食品》（GB 17401—2014）中规定，膨化食品中</w:t>
      </w:r>
      <w:r>
        <w:rPr>
          <w:rFonts w:hint="eastAsia" w:eastAsia="仿宋_GB2312"/>
          <w:sz w:val="32"/>
          <w:szCs w:val="32"/>
        </w:rPr>
        <w:t>同一批次产品</w:t>
      </w:r>
      <w:r>
        <w:rPr>
          <w:rFonts w:ascii="Times New Roman" w:hAnsi="Times New Roman" w:eastAsia="仿宋_GB2312"/>
          <w:sz w:val="32"/>
          <w:szCs w:val="32"/>
        </w:rPr>
        <w:t>5</w:t>
      </w:r>
      <w:r>
        <w:rPr>
          <w:rFonts w:hint="eastAsia" w:eastAsia="仿宋_GB2312"/>
          <w:sz w:val="32"/>
          <w:szCs w:val="32"/>
        </w:rPr>
        <w:t>个样品的菌落总数检测结果均不得超过</w:t>
      </w:r>
      <w:r>
        <w:rPr>
          <w:rFonts w:ascii="Times New Roman" w:hAnsi="Times New Roman" w:eastAsia="仿宋_GB2312"/>
          <w:sz w:val="32"/>
          <w:szCs w:val="32"/>
        </w:rPr>
        <w:t>10</w:t>
      </w:r>
      <w:r>
        <w:rPr>
          <w:rFonts w:hint="eastAsia" w:ascii="Times New Roman" w:hAnsi="Times New Roman" w:eastAsia="仿宋_GB2312"/>
          <w:sz w:val="32"/>
          <w:szCs w:val="32"/>
          <w:vertAlign w:val="superscript"/>
        </w:rPr>
        <w:t>5</w:t>
      </w:r>
      <w:r>
        <w:rPr>
          <w:rFonts w:ascii="Times New Roman" w:hAnsi="Times New Roman" w:eastAsia="仿宋_GB2312"/>
          <w:sz w:val="32"/>
          <w:szCs w:val="32"/>
        </w:rPr>
        <w:t>CFU/g，</w:t>
      </w:r>
      <w:r>
        <w:rPr>
          <w:rFonts w:hint="eastAsia" w:ascii="Times New Roman" w:hAnsi="Times New Roman" w:eastAsia="仿宋_GB2312"/>
          <w:sz w:val="32"/>
          <w:szCs w:val="32"/>
        </w:rPr>
        <w:t>且最多允许2个样品的检测结果超过10</w:t>
      </w:r>
      <w:r>
        <w:rPr>
          <w:rFonts w:hint="eastAsia" w:ascii="Times New Roman" w:hAnsi="Times New Roman" w:eastAsia="仿宋_GB2312"/>
          <w:sz w:val="32"/>
          <w:szCs w:val="32"/>
          <w:vertAlign w:val="superscript"/>
        </w:rPr>
        <w:t>4</w:t>
      </w:r>
      <w:r>
        <w:rPr>
          <w:rFonts w:hint="eastAsia" w:ascii="Times New Roman" w:hAnsi="Times New Roman" w:eastAsia="仿宋_GB2312"/>
          <w:sz w:val="32"/>
          <w:szCs w:val="32"/>
        </w:rPr>
        <w:t>CFU/g。</w:t>
      </w:r>
      <w:r>
        <w:rPr>
          <w:rFonts w:ascii="Times New Roman" w:hAnsi="Times New Roman" w:eastAsia="仿宋_GB2312"/>
          <w:sz w:val="32"/>
          <w:szCs w:val="32"/>
        </w:rPr>
        <w:t>《食品安全国家标准 熟肉制品》（GB 2726</w:t>
      </w:r>
      <w:r>
        <w:rPr>
          <w:rFonts w:hint="eastAsia" w:eastAsia="仿宋_GB2312"/>
          <w:kern w:val="0"/>
          <w:sz w:val="32"/>
          <w:szCs w:val="32"/>
        </w:rPr>
        <w:t>—</w:t>
      </w:r>
      <w:r>
        <w:rPr>
          <w:rFonts w:ascii="Times New Roman" w:hAnsi="Times New Roman" w:eastAsia="仿宋_GB2312"/>
          <w:sz w:val="32"/>
          <w:szCs w:val="32"/>
        </w:rPr>
        <w:t>2016）中规定，熟肉制品（除发酵肉制品外）</w:t>
      </w:r>
      <w:r>
        <w:rPr>
          <w:rFonts w:hint="eastAsia" w:ascii="Times New Roman" w:hAnsi="Times New Roman" w:eastAsia="仿宋_GB2312"/>
          <w:sz w:val="32"/>
          <w:szCs w:val="32"/>
        </w:rPr>
        <w:t>中</w:t>
      </w:r>
      <w:r>
        <w:rPr>
          <w:rFonts w:hint="eastAsia" w:eastAsia="仿宋_GB2312"/>
          <w:sz w:val="32"/>
          <w:szCs w:val="32"/>
        </w:rPr>
        <w:t>同一批次产品</w:t>
      </w:r>
      <w:r>
        <w:rPr>
          <w:rFonts w:ascii="Times New Roman" w:hAnsi="Times New Roman" w:eastAsia="仿宋_GB2312"/>
          <w:sz w:val="32"/>
          <w:szCs w:val="32"/>
        </w:rPr>
        <w:t>5</w:t>
      </w:r>
      <w:r>
        <w:rPr>
          <w:rFonts w:hint="eastAsia" w:eastAsia="仿宋_GB2312"/>
          <w:sz w:val="32"/>
          <w:szCs w:val="32"/>
        </w:rPr>
        <w:t>个样品的菌落总数检测结果均不得超过</w:t>
      </w:r>
      <w:r>
        <w:rPr>
          <w:rFonts w:ascii="Times New Roman" w:hAnsi="Times New Roman" w:eastAsia="仿宋_GB2312"/>
          <w:sz w:val="32"/>
          <w:szCs w:val="32"/>
        </w:rPr>
        <w:t>10</w:t>
      </w:r>
      <w:r>
        <w:rPr>
          <w:rFonts w:ascii="Times New Roman" w:hAnsi="Times New Roman" w:eastAsia="仿宋_GB2312"/>
          <w:sz w:val="32"/>
          <w:szCs w:val="32"/>
          <w:vertAlign w:val="superscript"/>
        </w:rPr>
        <w:t>5</w:t>
      </w:r>
      <w:r>
        <w:rPr>
          <w:rFonts w:ascii="Times New Roman" w:hAnsi="Times New Roman" w:eastAsia="仿宋_GB2312"/>
          <w:sz w:val="32"/>
          <w:szCs w:val="32"/>
        </w:rPr>
        <w:t>CFU/g</w:t>
      </w:r>
      <w:r>
        <w:rPr>
          <w:rFonts w:hint="eastAsia" w:ascii="Times New Roman" w:hAnsi="Times New Roman" w:eastAsia="仿宋_GB2312"/>
          <w:sz w:val="32"/>
          <w:szCs w:val="32"/>
        </w:rPr>
        <w:t>，且最多允许2个样品的检测结果超过</w:t>
      </w:r>
      <w:r>
        <w:rPr>
          <w:rFonts w:ascii="Times New Roman" w:hAnsi="Times New Roman" w:eastAsia="仿宋_GB2312"/>
          <w:sz w:val="32"/>
          <w:szCs w:val="32"/>
        </w:rPr>
        <w:t>10</w:t>
      </w:r>
      <w:r>
        <w:rPr>
          <w:rFonts w:ascii="Times New Roman" w:hAnsi="Times New Roman" w:eastAsia="仿宋_GB2312"/>
          <w:sz w:val="32"/>
          <w:szCs w:val="32"/>
          <w:vertAlign w:val="superscript"/>
        </w:rPr>
        <w:t>4</w:t>
      </w:r>
      <w:r>
        <w:rPr>
          <w:rFonts w:ascii="Times New Roman" w:hAnsi="Times New Roman" w:eastAsia="仿宋_GB2312"/>
          <w:sz w:val="32"/>
          <w:szCs w:val="32"/>
        </w:rPr>
        <w:t>CFU/g。</w:t>
      </w:r>
      <w:r>
        <w:rPr>
          <w:rFonts w:eastAsia="仿宋_GB2312"/>
          <w:sz w:val="32"/>
          <w:szCs w:val="32"/>
        </w:rPr>
        <w:t xml:space="preserve">《食品安全国家标准 </w:t>
      </w:r>
      <w:r>
        <w:rPr>
          <w:rFonts w:hint="eastAsia" w:eastAsia="仿宋_GB2312"/>
          <w:sz w:val="32"/>
          <w:szCs w:val="32"/>
        </w:rPr>
        <w:t>食用</w:t>
      </w:r>
      <w:r>
        <w:rPr>
          <w:rFonts w:eastAsia="仿宋_GB2312"/>
          <w:sz w:val="32"/>
          <w:szCs w:val="32"/>
        </w:rPr>
        <w:t>淀粉》（</w:t>
      </w:r>
      <w:r>
        <w:rPr>
          <w:rFonts w:ascii="Times New Roman" w:hAnsi="Times New Roman" w:eastAsia="仿宋_GB2312"/>
          <w:sz w:val="32"/>
          <w:szCs w:val="32"/>
        </w:rPr>
        <w:t>GB 31637</w:t>
      </w:r>
      <w:r>
        <w:rPr>
          <w:rFonts w:hint="eastAsia" w:ascii="仿宋_GB2312" w:hAnsi="Times New Roman" w:eastAsia="仿宋_GB2312"/>
          <w:sz w:val="32"/>
          <w:szCs w:val="32"/>
        </w:rPr>
        <w:t>—</w:t>
      </w:r>
      <w:r>
        <w:rPr>
          <w:rFonts w:ascii="Times New Roman" w:hAnsi="Times New Roman" w:eastAsia="仿宋_GB2312"/>
          <w:sz w:val="32"/>
          <w:szCs w:val="32"/>
        </w:rPr>
        <w:t>2016</w:t>
      </w:r>
      <w:r>
        <w:rPr>
          <w:rFonts w:eastAsia="仿宋_GB2312"/>
          <w:sz w:val="32"/>
          <w:szCs w:val="32"/>
        </w:rPr>
        <w:t>）中规定，食用淀粉</w:t>
      </w:r>
      <w:r>
        <w:rPr>
          <w:rFonts w:hint="eastAsia" w:eastAsia="仿宋_GB2312"/>
          <w:sz w:val="32"/>
          <w:szCs w:val="32"/>
        </w:rPr>
        <w:t>中同一批次产品</w:t>
      </w:r>
      <w:r>
        <w:rPr>
          <w:rFonts w:ascii="Times New Roman" w:hAnsi="Times New Roman" w:eastAsia="仿宋_GB2312"/>
          <w:sz w:val="32"/>
          <w:szCs w:val="32"/>
        </w:rPr>
        <w:t>5</w:t>
      </w:r>
      <w:r>
        <w:rPr>
          <w:rFonts w:hint="eastAsia" w:eastAsia="仿宋_GB2312"/>
          <w:sz w:val="32"/>
          <w:szCs w:val="32"/>
        </w:rPr>
        <w:t>个样品的菌落总数检测结果均不得超过</w:t>
      </w:r>
      <w:r>
        <w:rPr>
          <w:rFonts w:ascii="Times New Roman" w:hAnsi="Times New Roman" w:eastAsia="仿宋_GB2312"/>
          <w:sz w:val="32"/>
          <w:szCs w:val="32"/>
        </w:rPr>
        <w:t>10</w:t>
      </w:r>
      <w:r>
        <w:rPr>
          <w:rFonts w:ascii="Times New Roman" w:hAnsi="Times New Roman" w:eastAsia="仿宋_GB2312"/>
          <w:sz w:val="32"/>
          <w:szCs w:val="32"/>
          <w:vertAlign w:val="superscript"/>
        </w:rPr>
        <w:t>5</w:t>
      </w:r>
      <w:r>
        <w:rPr>
          <w:rFonts w:ascii="Times New Roman" w:hAnsi="Times New Roman" w:eastAsia="仿宋_GB2312"/>
          <w:sz w:val="32"/>
          <w:szCs w:val="32"/>
        </w:rPr>
        <w:t>CFU/g</w:t>
      </w:r>
      <w:r>
        <w:rPr>
          <w:rFonts w:eastAsia="仿宋_GB2312"/>
          <w:sz w:val="32"/>
          <w:szCs w:val="32"/>
        </w:rPr>
        <w:t>，</w:t>
      </w:r>
      <w:r>
        <w:rPr>
          <w:rFonts w:ascii="Times New Roman" w:hAnsi="Times New Roman" w:eastAsia="仿宋_GB2312"/>
          <w:sz w:val="32"/>
          <w:szCs w:val="32"/>
        </w:rPr>
        <w:t>且</w:t>
      </w:r>
      <w:r>
        <w:rPr>
          <w:rFonts w:hint="eastAsia" w:ascii="Times New Roman" w:hAnsi="Times New Roman" w:eastAsia="仿宋_GB2312"/>
          <w:sz w:val="32"/>
          <w:szCs w:val="32"/>
        </w:rPr>
        <w:t>最多允许2个样品的检测结果超过</w:t>
      </w:r>
      <w:r>
        <w:rPr>
          <w:rFonts w:ascii="Times New Roman" w:hAnsi="Times New Roman" w:eastAsia="仿宋_GB2312"/>
          <w:sz w:val="32"/>
          <w:szCs w:val="32"/>
        </w:rPr>
        <w:t>10</w:t>
      </w:r>
      <w:r>
        <w:rPr>
          <w:rFonts w:ascii="Times New Roman" w:hAnsi="Times New Roman" w:eastAsia="仿宋_GB2312"/>
          <w:sz w:val="32"/>
          <w:szCs w:val="32"/>
          <w:vertAlign w:val="superscript"/>
        </w:rPr>
        <w:t>4</w:t>
      </w:r>
      <w:r>
        <w:rPr>
          <w:rFonts w:ascii="Times New Roman" w:hAnsi="Times New Roman" w:eastAsia="仿宋_GB2312"/>
          <w:sz w:val="32"/>
          <w:szCs w:val="32"/>
        </w:rPr>
        <w:t>CFU/g</w:t>
      </w:r>
      <w:r>
        <w:rPr>
          <w:rFonts w:eastAsia="仿宋_GB2312"/>
          <w:sz w:val="32"/>
          <w:szCs w:val="32"/>
        </w:rPr>
        <w:t>。</w:t>
      </w:r>
      <w:r>
        <w:rPr>
          <w:rFonts w:hint="eastAsia" w:eastAsia="仿宋_GB2312"/>
          <w:sz w:val="32"/>
          <w:szCs w:val="32"/>
        </w:rPr>
        <w:t>蜂蜜、糕点</w:t>
      </w:r>
      <w:r>
        <w:rPr>
          <w:rFonts w:hint="eastAsia" w:ascii="Times New Roman" w:hAnsi="Times New Roman" w:eastAsia="仿宋_GB2312"/>
          <w:sz w:val="32"/>
          <w:szCs w:val="32"/>
        </w:rPr>
        <w:t>、膨化食品、酱卤肉制</w:t>
      </w:r>
      <w:r>
        <w:rPr>
          <w:rFonts w:hint="eastAsia" w:ascii="Times New Roman" w:hAnsi="Times New Roman" w:eastAsia="仿宋_GB2312"/>
          <w:sz w:val="32"/>
          <w:szCs w:val="32"/>
          <w:lang w:eastAsia="zh-CN"/>
        </w:rPr>
        <w:t>品</w:t>
      </w:r>
      <w:r>
        <w:rPr>
          <w:rFonts w:hint="eastAsia" w:ascii="Times New Roman" w:hAnsi="Times New Roman" w:eastAsia="仿宋_GB2312"/>
          <w:sz w:val="32"/>
          <w:szCs w:val="32"/>
        </w:rPr>
        <w:t>和</w:t>
      </w:r>
      <w:r>
        <w:rPr>
          <w:rFonts w:hint="eastAsia" w:eastAsia="仿宋_GB2312"/>
          <w:sz w:val="32"/>
          <w:szCs w:val="32"/>
        </w:rPr>
        <w:t>淀粉</w:t>
      </w:r>
      <w:r>
        <w:rPr>
          <w:rFonts w:eastAsia="仿宋_GB2312"/>
          <w:sz w:val="32"/>
          <w:szCs w:val="32"/>
        </w:rPr>
        <w:t>中菌落总数超标的原因，可能是企业未按要求严格控制生产加工过程</w:t>
      </w:r>
      <w:r>
        <w:rPr>
          <w:rFonts w:hint="eastAsia" w:eastAsia="仿宋_GB2312"/>
          <w:sz w:val="32"/>
          <w:szCs w:val="32"/>
        </w:rPr>
        <w:t>中</w:t>
      </w:r>
      <w:r>
        <w:rPr>
          <w:rFonts w:eastAsia="仿宋_GB2312"/>
          <w:sz w:val="32"/>
          <w:szCs w:val="32"/>
        </w:rPr>
        <w:t>的卫生条件，</w:t>
      </w:r>
      <w:r>
        <w:rPr>
          <w:rFonts w:hint="eastAsia" w:eastAsia="仿宋_GB2312"/>
          <w:sz w:val="32"/>
          <w:szCs w:val="32"/>
        </w:rPr>
        <w:t>也</w:t>
      </w:r>
      <w:r>
        <w:rPr>
          <w:rFonts w:eastAsia="仿宋_GB2312"/>
          <w:sz w:val="32"/>
          <w:szCs w:val="32"/>
        </w:rPr>
        <w:t>可能与产品包装密封不严</w:t>
      </w:r>
      <w:r>
        <w:rPr>
          <w:rFonts w:hint="eastAsia" w:eastAsia="仿宋_GB2312"/>
          <w:sz w:val="32"/>
          <w:szCs w:val="32"/>
        </w:rPr>
        <w:t>或</w:t>
      </w:r>
      <w:r>
        <w:rPr>
          <w:rFonts w:eastAsia="仿宋_GB2312"/>
          <w:sz w:val="32"/>
          <w:szCs w:val="32"/>
        </w:rPr>
        <w:t>储运条件不当等有关。</w:t>
      </w:r>
    </w:p>
    <w:p>
      <w:pPr>
        <w:spacing w:line="594" w:lineRule="exact"/>
        <w:ind w:firstLine="640" w:firstLineChars="200"/>
        <w:rPr>
          <w:rFonts w:ascii="黑体" w:hAnsi="黑体" w:eastAsia="黑体"/>
          <w:spacing w:val="0"/>
          <w:sz w:val="32"/>
          <w:szCs w:val="32"/>
        </w:rPr>
      </w:pPr>
      <w:r>
        <w:rPr>
          <w:rFonts w:hint="eastAsia" w:eastAsia="黑体"/>
          <w:sz w:val="32"/>
          <w:szCs w:val="32"/>
        </w:rPr>
        <w:t>二、</w:t>
      </w:r>
      <w:r>
        <w:rPr>
          <w:rFonts w:hint="eastAsia" w:ascii="黑体" w:hAnsi="黑体" w:eastAsia="黑体"/>
          <w:spacing w:val="0"/>
          <w:sz w:val="32"/>
          <w:szCs w:val="32"/>
        </w:rPr>
        <w:t>大肠菌群</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食品安全国家标准 冲调谷物制品》（GB 19640</w:t>
      </w:r>
      <w:r>
        <w:rPr>
          <w:rFonts w:hint="eastAsia" w:ascii="仿宋_GB2312" w:hAnsi="Times New Roman" w:eastAsia="仿宋_GB2312"/>
          <w:sz w:val="32"/>
          <w:szCs w:val="32"/>
        </w:rPr>
        <w:t>—</w:t>
      </w:r>
      <w:r>
        <w:rPr>
          <w:rFonts w:ascii="Times New Roman" w:hAnsi="Times New Roman" w:eastAsia="仿宋_GB2312"/>
          <w:sz w:val="32"/>
          <w:szCs w:val="32"/>
        </w:rPr>
        <w:t>2016）中规定，冲调谷物制品</w:t>
      </w:r>
      <w:r>
        <w:rPr>
          <w:rFonts w:hint="eastAsia" w:ascii="Times New Roman" w:hAnsi="Times New Roman" w:eastAsia="仿宋_GB2312"/>
          <w:sz w:val="32"/>
          <w:szCs w:val="32"/>
        </w:rPr>
        <w:t>中</w:t>
      </w:r>
      <w:r>
        <w:rPr>
          <w:rFonts w:hint="eastAsia" w:eastAsia="仿宋_GB2312"/>
          <w:sz w:val="32"/>
          <w:szCs w:val="32"/>
        </w:rPr>
        <w:t>同一批次产品</w:t>
      </w:r>
      <w:r>
        <w:rPr>
          <w:rFonts w:ascii="Times New Roman" w:hAnsi="Times New Roman" w:eastAsia="仿宋_GB2312"/>
          <w:sz w:val="32"/>
          <w:szCs w:val="32"/>
        </w:rPr>
        <w:t>5</w:t>
      </w:r>
      <w:r>
        <w:rPr>
          <w:rFonts w:hint="eastAsia" w:eastAsia="仿宋_GB2312"/>
          <w:sz w:val="32"/>
          <w:szCs w:val="32"/>
        </w:rPr>
        <w:t>个样品的大肠菌群检测结果均不得超过</w:t>
      </w:r>
      <w:r>
        <w:rPr>
          <w:rFonts w:ascii="Times New Roman" w:hAnsi="Times New Roman" w:eastAsia="仿宋_GB2312"/>
          <w:sz w:val="32"/>
          <w:szCs w:val="32"/>
        </w:rPr>
        <w:t>10</w:t>
      </w:r>
      <w:r>
        <w:rPr>
          <w:rFonts w:ascii="Times New Roman" w:hAnsi="Times New Roman" w:eastAsia="仿宋_GB2312"/>
          <w:sz w:val="32"/>
          <w:szCs w:val="32"/>
          <w:vertAlign w:val="superscript"/>
        </w:rPr>
        <w:t>2</w:t>
      </w:r>
      <w:r>
        <w:rPr>
          <w:rFonts w:ascii="Times New Roman" w:hAnsi="Times New Roman" w:eastAsia="仿宋_GB2312"/>
          <w:sz w:val="32"/>
          <w:szCs w:val="32"/>
        </w:rPr>
        <w:t>CFU/g，</w:t>
      </w:r>
      <w:r>
        <w:rPr>
          <w:rFonts w:hint="eastAsia" w:ascii="Times New Roman" w:hAnsi="Times New Roman" w:eastAsia="仿宋_GB2312"/>
          <w:sz w:val="32"/>
          <w:szCs w:val="32"/>
        </w:rPr>
        <w:t>且最多允许2个样品的检测结果超过</w:t>
      </w:r>
      <w:r>
        <w:rPr>
          <w:rFonts w:ascii="Times New Roman" w:hAnsi="Times New Roman" w:eastAsia="仿宋_GB2312"/>
          <w:sz w:val="32"/>
          <w:szCs w:val="32"/>
        </w:rPr>
        <w:t>10CFU/g。冲调谷物制品中</w:t>
      </w:r>
      <w:r>
        <w:rPr>
          <w:rFonts w:hint="eastAsia" w:ascii="Times New Roman" w:hAnsi="Times New Roman" w:eastAsia="仿宋_GB2312"/>
          <w:sz w:val="32"/>
          <w:szCs w:val="32"/>
        </w:rPr>
        <w:t>大肠菌群数</w:t>
      </w:r>
      <w:r>
        <w:rPr>
          <w:rFonts w:ascii="Times New Roman" w:hAnsi="Times New Roman" w:eastAsia="仿宋_GB2312"/>
          <w:sz w:val="32"/>
          <w:szCs w:val="32"/>
        </w:rPr>
        <w:t>超标的原因，可能是产品的加工原料、包装材料受污染，也可能是产品在生产过程中受人员、工器具等的污染，还可能是灭菌工艺灭菌不彻底导致的。</w:t>
      </w:r>
    </w:p>
    <w:p>
      <w:pPr>
        <w:spacing w:line="594" w:lineRule="exact"/>
        <w:ind w:firstLine="640" w:firstLineChars="200"/>
        <w:rPr>
          <w:rFonts w:hint="eastAsia" w:ascii="黑体" w:hAnsi="黑体" w:eastAsia="黑体"/>
          <w:spacing w:val="0"/>
          <w:sz w:val="32"/>
          <w:szCs w:val="32"/>
        </w:rPr>
      </w:pPr>
      <w:r>
        <w:rPr>
          <w:rFonts w:hint="eastAsia" w:ascii="黑体" w:hAnsi="黑体" w:eastAsia="黑体"/>
          <w:spacing w:val="0"/>
          <w:sz w:val="32"/>
          <w:szCs w:val="32"/>
        </w:rPr>
        <w:t>三、霉菌</w:t>
      </w:r>
    </w:p>
    <w:p>
      <w:pPr>
        <w:spacing w:line="594" w:lineRule="exact"/>
        <w:ind w:firstLine="640" w:firstLineChars="200"/>
        <w:rPr>
          <w:rFonts w:eastAsia="仿宋_GB2312"/>
          <w:sz w:val="32"/>
          <w:szCs w:val="32"/>
        </w:rPr>
      </w:pPr>
      <w:r>
        <w:rPr>
          <w:rFonts w:hint="eastAsia" w:eastAsia="仿宋_GB2312"/>
          <w:sz w:val="32"/>
          <w:szCs w:val="32"/>
        </w:rPr>
        <w:t>霉菌是评价食品卫生质量的指示性指标。食品中霉菌数是指食品检样经过处理，在一定条件下培养后，计数所得</w:t>
      </w:r>
      <w:r>
        <w:rPr>
          <w:rFonts w:ascii="Times New Roman" w:hAnsi="Times New Roman" w:eastAsia="仿宋_GB2312"/>
          <w:sz w:val="32"/>
          <w:szCs w:val="32"/>
        </w:rPr>
        <w:t>1g</w:t>
      </w:r>
      <w:r>
        <w:rPr>
          <w:rFonts w:hint="eastAsia" w:eastAsia="仿宋_GB2312"/>
          <w:sz w:val="32"/>
          <w:szCs w:val="32"/>
        </w:rPr>
        <w:t>或</w:t>
      </w:r>
      <w:r>
        <w:rPr>
          <w:rFonts w:ascii="Times New Roman" w:hAnsi="Times New Roman" w:eastAsia="仿宋_GB2312"/>
          <w:sz w:val="32"/>
          <w:szCs w:val="32"/>
        </w:rPr>
        <w:t>1mL</w:t>
      </w:r>
      <w:r>
        <w:rPr>
          <w:rFonts w:hint="eastAsia" w:eastAsia="仿宋_GB2312"/>
          <w:sz w:val="32"/>
          <w:szCs w:val="32"/>
        </w:rPr>
        <w:t>检样中所形成的霉菌菌落数。如果食品中的霉菌严重超标，将会破坏食品的营养成分，使食品失去食用价值，还可能产生霉菌毒素；长期食用霉菌超标的食品，可能危害人体健康。《食品安全国家标准</w:t>
      </w:r>
      <w:r>
        <w:rPr>
          <w:rFonts w:eastAsia="仿宋_GB2312"/>
          <w:sz w:val="32"/>
          <w:szCs w:val="32"/>
        </w:rPr>
        <w:t xml:space="preserve"> </w:t>
      </w:r>
      <w:r>
        <w:rPr>
          <w:rFonts w:hint="eastAsia" w:eastAsia="仿宋_GB2312"/>
          <w:sz w:val="32"/>
          <w:szCs w:val="32"/>
        </w:rPr>
        <w:t>花粉》（</w:t>
      </w:r>
      <w:r>
        <w:rPr>
          <w:rFonts w:ascii="Times New Roman" w:hAnsi="Times New Roman" w:eastAsia="仿宋_GB2312"/>
          <w:sz w:val="32"/>
          <w:szCs w:val="32"/>
        </w:rPr>
        <w:t>GB 31636</w:t>
      </w:r>
      <w:r>
        <w:rPr>
          <w:rFonts w:hint="eastAsia" w:eastAsia="仿宋_GB2312"/>
          <w:sz w:val="32"/>
          <w:szCs w:val="32"/>
        </w:rPr>
        <w:t>—</w:t>
      </w:r>
      <w:r>
        <w:rPr>
          <w:rFonts w:ascii="Times New Roman" w:hAnsi="Times New Roman" w:eastAsia="仿宋_GB2312"/>
          <w:sz w:val="32"/>
          <w:szCs w:val="32"/>
        </w:rPr>
        <w:t>2016</w:t>
      </w:r>
      <w:r>
        <w:rPr>
          <w:rFonts w:hint="eastAsia" w:eastAsia="仿宋_GB2312"/>
          <w:sz w:val="32"/>
          <w:szCs w:val="32"/>
        </w:rPr>
        <w:t>）中规定，花粉中霉菌不得超过</w:t>
      </w:r>
      <w:r>
        <w:rPr>
          <w:rFonts w:ascii="Times New Roman" w:hAnsi="Times New Roman" w:eastAsia="仿宋_GB2312"/>
          <w:sz w:val="32"/>
          <w:szCs w:val="32"/>
        </w:rPr>
        <w:t>2×10</w:t>
      </w:r>
      <w:r>
        <w:rPr>
          <w:rFonts w:ascii="Times New Roman" w:hAnsi="Times New Roman" w:eastAsia="仿宋_GB2312"/>
          <w:sz w:val="32"/>
          <w:szCs w:val="32"/>
          <w:vertAlign w:val="superscript"/>
        </w:rPr>
        <w:t>2</w:t>
      </w:r>
      <w:r>
        <w:rPr>
          <w:rFonts w:ascii="Times New Roman" w:hAnsi="Times New Roman" w:eastAsia="仿宋_GB2312"/>
          <w:sz w:val="32"/>
          <w:szCs w:val="32"/>
        </w:rPr>
        <w:t>CFU/g</w:t>
      </w:r>
      <w:r>
        <w:rPr>
          <w:rFonts w:hint="eastAsia" w:eastAsia="仿宋_GB2312"/>
          <w:sz w:val="32"/>
          <w:szCs w:val="32"/>
        </w:rPr>
        <w:t>。花粉中霉菌数超标的原因，可能是原料或包装材料受到霉菌污染，也可能是产品在生产加工过程中卫生条件控制不到位，还可能与产品储运条件不当有关。</w:t>
      </w:r>
    </w:p>
    <w:p>
      <w:pPr>
        <w:spacing w:line="594" w:lineRule="exact"/>
        <w:ind w:firstLine="640" w:firstLineChars="200"/>
        <w:rPr>
          <w:rFonts w:eastAsia="黑体"/>
          <w:spacing w:val="-12"/>
          <w:sz w:val="32"/>
          <w:szCs w:val="32"/>
        </w:rPr>
      </w:pPr>
      <w:r>
        <w:rPr>
          <w:rFonts w:hint="eastAsia" w:ascii="黑体" w:hAnsi="黑体" w:eastAsia="黑体"/>
          <w:spacing w:val="0"/>
          <w:sz w:val="32"/>
          <w:szCs w:val="32"/>
          <w:lang w:eastAsia="zh-CN"/>
        </w:rPr>
        <w:t>四</w:t>
      </w:r>
      <w:r>
        <w:rPr>
          <w:rFonts w:hint="eastAsia" w:ascii="黑体" w:hAnsi="黑体" w:eastAsia="黑体"/>
          <w:spacing w:val="0"/>
          <w:sz w:val="32"/>
          <w:szCs w:val="32"/>
        </w:rPr>
        <w:t>、霉菌和酵母</w:t>
      </w:r>
    </w:p>
    <w:p>
      <w:pPr>
        <w:pStyle w:val="5"/>
        <w:spacing w:after="0" w:line="594" w:lineRule="exact"/>
        <w:ind w:firstLine="640"/>
        <w:rPr>
          <w:rFonts w:ascii="Times New Roman" w:hAnsi="Times New Roman" w:eastAsia="仿宋_GB2312"/>
          <w:szCs w:val="32"/>
        </w:rPr>
      </w:pPr>
      <w:r>
        <w:rPr>
          <w:rFonts w:hint="eastAsia" w:ascii="Times New Roman" w:hAnsi="Times New Roman" w:eastAsia="仿宋_GB2312"/>
          <w:szCs w:val="32"/>
        </w:rPr>
        <w:t>霉菌和酵母是自然界中常见的真菌，是评价食品卫生质量的指示性指标。食品中霉菌和酵母严重超标会破坏食品的营养物质，降低其食用价值；长期食用霉菌和酵母超标的食品，可能危害人体健康。</w:t>
      </w:r>
      <w:r>
        <w:rPr>
          <w:rFonts w:ascii="Times New Roman" w:hAnsi="Times New Roman" w:eastAsia="仿宋_GB2312"/>
          <w:szCs w:val="32"/>
        </w:rPr>
        <w:t xml:space="preserve">《食品安全国家标准 </w:t>
      </w:r>
      <w:r>
        <w:rPr>
          <w:rFonts w:hint="eastAsia" w:ascii="Times New Roman" w:hAnsi="Times New Roman" w:eastAsia="仿宋_GB2312"/>
          <w:szCs w:val="32"/>
        </w:rPr>
        <w:t>食用</w:t>
      </w:r>
      <w:r>
        <w:rPr>
          <w:rFonts w:ascii="Times New Roman" w:hAnsi="Times New Roman" w:eastAsia="仿宋_GB2312"/>
          <w:szCs w:val="32"/>
        </w:rPr>
        <w:t xml:space="preserve">淀粉》（GB </w:t>
      </w:r>
      <w:r>
        <w:rPr>
          <w:rFonts w:hint="eastAsia" w:ascii="Times New Roman" w:hAnsi="Times New Roman" w:eastAsia="仿宋_GB2312"/>
          <w:szCs w:val="32"/>
        </w:rPr>
        <w:t>31637—</w:t>
      </w:r>
      <w:r>
        <w:rPr>
          <w:rFonts w:ascii="Times New Roman" w:hAnsi="Times New Roman" w:eastAsia="仿宋_GB2312"/>
          <w:szCs w:val="32"/>
        </w:rPr>
        <w:t>2016）中规定，食用淀粉</w:t>
      </w:r>
      <w:r>
        <w:rPr>
          <w:rFonts w:hint="eastAsia" w:ascii="Times New Roman" w:hAnsi="Times New Roman" w:eastAsia="仿宋_GB2312"/>
          <w:szCs w:val="32"/>
        </w:rPr>
        <w:t>中霉菌和酵母不得超过</w:t>
      </w:r>
      <w:r>
        <w:rPr>
          <w:rFonts w:ascii="Times New Roman" w:hAnsi="Times New Roman" w:eastAsia="仿宋_GB2312"/>
          <w:szCs w:val="32"/>
        </w:rPr>
        <w:t>10</w:t>
      </w:r>
      <w:r>
        <w:rPr>
          <w:rFonts w:hint="eastAsia" w:ascii="Times New Roman" w:hAnsi="Times New Roman" w:eastAsia="仿宋_GB2312"/>
          <w:szCs w:val="32"/>
          <w:vertAlign w:val="superscript"/>
        </w:rPr>
        <w:t>3</w:t>
      </w:r>
      <w:r>
        <w:rPr>
          <w:rFonts w:hint="eastAsia" w:ascii="Times New Roman" w:hAnsi="Times New Roman" w:eastAsia="仿宋_GB2312"/>
          <w:szCs w:val="32"/>
        </w:rPr>
        <w:t>CFU/g</w:t>
      </w:r>
      <w:r>
        <w:rPr>
          <w:rFonts w:ascii="Times New Roman" w:hAnsi="Times New Roman" w:eastAsia="仿宋_GB2312"/>
          <w:szCs w:val="32"/>
        </w:rPr>
        <w:t>。</w:t>
      </w:r>
      <w:r>
        <w:rPr>
          <w:rFonts w:hint="eastAsia" w:ascii="Times New Roman" w:hAnsi="Times New Roman" w:eastAsia="仿宋_GB2312"/>
          <w:szCs w:val="32"/>
        </w:rPr>
        <w:t>食用淀粉中霉菌和酵母数超标的原因，可能是原料或包装材料受到污染，也可能是产品在生产加工过程中卫生条件控制不到位，还可能与产品储运条件不当有关。</w:t>
      </w:r>
    </w:p>
    <w:p>
      <w:pPr>
        <w:spacing w:line="594" w:lineRule="exact"/>
        <w:ind w:firstLine="640" w:firstLineChars="200"/>
        <w:rPr>
          <w:rFonts w:hint="eastAsia" w:ascii="黑体" w:hAnsi="黑体" w:eastAsia="黑体"/>
          <w:spacing w:val="0"/>
          <w:sz w:val="32"/>
          <w:szCs w:val="32"/>
        </w:rPr>
      </w:pPr>
      <w:r>
        <w:rPr>
          <w:rFonts w:hint="eastAsia" w:ascii="黑体" w:hAnsi="黑体" w:eastAsia="黑体"/>
          <w:spacing w:val="0"/>
          <w:sz w:val="32"/>
          <w:szCs w:val="32"/>
          <w:lang w:eastAsia="zh-CN"/>
        </w:rPr>
        <w:t>五</w:t>
      </w:r>
      <w:r>
        <w:rPr>
          <w:rFonts w:hint="eastAsia" w:ascii="黑体" w:hAnsi="黑体" w:eastAsia="黑体"/>
          <w:spacing w:val="0"/>
          <w:sz w:val="32"/>
          <w:szCs w:val="32"/>
        </w:rPr>
        <w:t>、毒死蜱</w:t>
      </w:r>
    </w:p>
    <w:p>
      <w:pPr>
        <w:pStyle w:val="7"/>
        <w:widowControl/>
        <w:spacing w:beforeAutospacing="0" w:afterAutospacing="0"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毒死蜱是一种硫代磷酸酯类有机磷杀虫、杀螨剂，具有良好的触杀、胃毒和熏蒸作用。少量的残留不会引起人体急性中毒，但长期食用毒死蜱</w:t>
      </w:r>
      <w:r>
        <w:rPr>
          <w:rFonts w:hint="eastAsia" w:ascii="Times New Roman" w:hAnsi="Times New Roman" w:eastAsia="仿宋_GB2312"/>
          <w:sz w:val="32"/>
          <w:szCs w:val="32"/>
        </w:rPr>
        <w:t>残留</w:t>
      </w:r>
      <w:r>
        <w:rPr>
          <w:rFonts w:ascii="Times New Roman" w:hAnsi="Times New Roman" w:eastAsia="仿宋_GB2312"/>
          <w:sz w:val="32"/>
          <w:szCs w:val="32"/>
        </w:rPr>
        <w:t>超标的食品，可能对人体健康有一定影响。《食品安全国家标准 食品中农药最大残留限量》（GB 2763</w:t>
      </w:r>
      <w:r>
        <w:rPr>
          <w:rFonts w:hint="eastAsia" w:ascii="Times New Roman" w:hAnsi="Times New Roman" w:eastAsia="仿宋_GB2312"/>
          <w:sz w:val="32"/>
          <w:szCs w:val="32"/>
        </w:rPr>
        <w:t>—</w:t>
      </w:r>
      <w:r>
        <w:rPr>
          <w:rFonts w:ascii="Times New Roman" w:hAnsi="Times New Roman" w:eastAsia="仿宋_GB2312"/>
          <w:sz w:val="32"/>
          <w:szCs w:val="32"/>
        </w:rPr>
        <w:t>2019）中规定，毒死蜱在芹菜中的最大残留限量</w:t>
      </w:r>
      <w:r>
        <w:rPr>
          <w:rFonts w:hint="eastAsia" w:ascii="Times New Roman" w:hAnsi="Times New Roman" w:eastAsia="仿宋_GB2312"/>
          <w:sz w:val="32"/>
          <w:szCs w:val="32"/>
        </w:rPr>
        <w:t>值</w:t>
      </w:r>
      <w:r>
        <w:rPr>
          <w:rFonts w:ascii="Times New Roman" w:hAnsi="Times New Roman" w:eastAsia="仿宋_GB2312"/>
          <w:sz w:val="32"/>
          <w:szCs w:val="32"/>
        </w:rPr>
        <w:t>为0.05mg/kg。</w:t>
      </w:r>
      <w:r>
        <w:rPr>
          <w:rFonts w:hint="eastAsia" w:ascii="Times New Roman" w:hAnsi="Times New Roman" w:eastAsia="仿宋_GB2312"/>
          <w:sz w:val="32"/>
          <w:szCs w:val="32"/>
        </w:rPr>
        <w:t>芹菜中毒死蜱残留量</w:t>
      </w:r>
      <w:r>
        <w:rPr>
          <w:rFonts w:ascii="Times New Roman" w:hAnsi="Times New Roman" w:eastAsia="仿宋_GB2312"/>
          <w:sz w:val="32"/>
          <w:szCs w:val="32"/>
        </w:rPr>
        <w:t>超标的原因</w:t>
      </w:r>
      <w:r>
        <w:rPr>
          <w:rFonts w:hint="eastAsia" w:ascii="Times New Roman" w:hAnsi="Times New Roman" w:eastAsia="仿宋_GB2312"/>
          <w:sz w:val="32"/>
          <w:szCs w:val="32"/>
        </w:rPr>
        <w:t>，可能是为</w:t>
      </w:r>
      <w:r>
        <w:rPr>
          <w:rFonts w:ascii="Times New Roman" w:hAnsi="Times New Roman" w:eastAsia="仿宋_GB2312"/>
          <w:sz w:val="32"/>
          <w:szCs w:val="32"/>
        </w:rPr>
        <w:t>快速控制</w:t>
      </w:r>
      <w:r>
        <w:rPr>
          <w:rFonts w:hint="eastAsia" w:ascii="Times New Roman" w:hAnsi="Times New Roman" w:eastAsia="仿宋_GB2312"/>
          <w:sz w:val="32"/>
          <w:szCs w:val="32"/>
        </w:rPr>
        <w:t>虫害而违规使用</w:t>
      </w:r>
      <w:r>
        <w:rPr>
          <w:rFonts w:ascii="Times New Roman" w:hAnsi="Times New Roman" w:eastAsia="仿宋_GB2312"/>
          <w:sz w:val="32"/>
          <w:szCs w:val="32"/>
        </w:rPr>
        <w:t>。</w:t>
      </w:r>
    </w:p>
    <w:p>
      <w:pPr>
        <w:numPr>
          <w:ilvl w:val="255"/>
          <w:numId w:val="0"/>
        </w:numPr>
        <w:autoSpaceDE w:val="0"/>
        <w:spacing w:line="594" w:lineRule="exact"/>
        <w:ind w:firstLine="640" w:firstLineChars="200"/>
        <w:rPr>
          <w:rFonts w:ascii="Times New Roman" w:hAnsi="Times New Roman" w:eastAsia="黑体"/>
          <w:spacing w:val="0"/>
          <w:sz w:val="32"/>
          <w:szCs w:val="32"/>
        </w:rPr>
      </w:pPr>
      <w:r>
        <w:rPr>
          <w:rFonts w:hint="eastAsia" w:ascii="Times New Roman" w:hAnsi="Times New Roman" w:eastAsia="黑体"/>
          <w:spacing w:val="0"/>
          <w:sz w:val="32"/>
          <w:szCs w:val="32"/>
          <w:lang w:eastAsia="zh-CN"/>
        </w:rPr>
        <w:t>六</w:t>
      </w:r>
      <w:r>
        <w:rPr>
          <w:rFonts w:ascii="Times New Roman" w:hAnsi="Times New Roman" w:eastAsia="黑体"/>
          <w:spacing w:val="0"/>
          <w:sz w:val="32"/>
          <w:szCs w:val="32"/>
        </w:rPr>
        <w:t>、恩诺沙星</w:t>
      </w:r>
    </w:p>
    <w:p>
      <w:pPr>
        <w:autoSpaceDE w:val="0"/>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恩诺沙星属第三代喹诺酮类药物，是一类人工合成的广谱抗菌药，用于治疗动物的皮肤感染、呼吸道感染等，是动物专属用药。长期食用恩诺沙星</w:t>
      </w:r>
      <w:r>
        <w:rPr>
          <w:rFonts w:hint="eastAsia" w:ascii="Times New Roman" w:hAnsi="Times New Roman" w:eastAsia="仿宋_GB2312"/>
          <w:sz w:val="32"/>
          <w:szCs w:val="32"/>
        </w:rPr>
        <w:t>残留</w:t>
      </w:r>
      <w:r>
        <w:rPr>
          <w:rFonts w:ascii="Times New Roman" w:hAnsi="Times New Roman" w:eastAsia="仿宋_GB2312"/>
          <w:sz w:val="32"/>
          <w:szCs w:val="32"/>
        </w:rPr>
        <w:t>超标的食品，可能在人体中蓄积，进而对人体机能产生危害，还可能使人体产生耐药性菌株。《食品安全国家标准 食品中兽药最大残留限量》（GB 31650</w:t>
      </w:r>
      <w:r>
        <w:rPr>
          <w:rFonts w:hint="eastAsia" w:ascii="Times New Roman" w:hAnsi="Times New Roman" w:eastAsia="仿宋_GB2312"/>
          <w:sz w:val="32"/>
          <w:szCs w:val="32"/>
        </w:rPr>
        <w:t>—</w:t>
      </w:r>
      <w:r>
        <w:rPr>
          <w:rFonts w:ascii="Times New Roman" w:hAnsi="Times New Roman" w:eastAsia="仿宋_GB2312"/>
          <w:sz w:val="32"/>
          <w:szCs w:val="32"/>
        </w:rPr>
        <w:t>2019）</w:t>
      </w:r>
      <w:r>
        <w:rPr>
          <w:rFonts w:hint="eastAsia" w:ascii="Times New Roman" w:hAnsi="Times New Roman" w:eastAsia="仿宋_GB2312"/>
          <w:sz w:val="32"/>
          <w:szCs w:val="32"/>
        </w:rPr>
        <w:t>中</w:t>
      </w:r>
      <w:r>
        <w:rPr>
          <w:rFonts w:ascii="Times New Roman" w:hAnsi="Times New Roman" w:eastAsia="仿宋_GB2312"/>
          <w:sz w:val="32"/>
          <w:szCs w:val="32"/>
        </w:rPr>
        <w:t>规定，恩诺沙星在</w:t>
      </w:r>
      <w:r>
        <w:rPr>
          <w:rFonts w:hint="eastAsia" w:ascii="Times New Roman" w:hAnsi="Times New Roman" w:eastAsia="仿宋_GB2312"/>
          <w:sz w:val="32"/>
          <w:szCs w:val="32"/>
        </w:rPr>
        <w:t>家禽的肌肉、鱼的皮和肉</w:t>
      </w:r>
      <w:r>
        <w:rPr>
          <w:rFonts w:ascii="Times New Roman" w:hAnsi="Times New Roman" w:eastAsia="仿宋_GB2312"/>
          <w:sz w:val="32"/>
          <w:szCs w:val="32"/>
        </w:rPr>
        <w:t>中最大残留限量值为100μg/kg。</w:t>
      </w:r>
      <w:r>
        <w:rPr>
          <w:rFonts w:hint="eastAsia" w:ascii="Times New Roman" w:hAnsi="Times New Roman" w:eastAsia="仿宋_GB2312"/>
          <w:sz w:val="32"/>
          <w:szCs w:val="32"/>
        </w:rPr>
        <w:t>鸡肉和泥鳅</w:t>
      </w:r>
      <w:r>
        <w:rPr>
          <w:rFonts w:ascii="Times New Roman" w:hAnsi="Times New Roman" w:eastAsia="仿宋_GB2312"/>
          <w:sz w:val="32"/>
          <w:szCs w:val="32"/>
        </w:rPr>
        <w:t>中恩诺沙星</w:t>
      </w:r>
      <w:r>
        <w:rPr>
          <w:rFonts w:hint="eastAsia" w:ascii="Times New Roman" w:hAnsi="Times New Roman" w:eastAsia="仿宋_GB2312"/>
          <w:sz w:val="32"/>
          <w:szCs w:val="32"/>
        </w:rPr>
        <w:t>残留量</w:t>
      </w:r>
      <w:r>
        <w:rPr>
          <w:rFonts w:ascii="Times New Roman" w:hAnsi="Times New Roman" w:eastAsia="仿宋_GB2312"/>
          <w:sz w:val="32"/>
          <w:szCs w:val="32"/>
        </w:rPr>
        <w:t>超标的原因，可能是在养殖过程中为快速控制疫病</w:t>
      </w:r>
      <w:r>
        <w:rPr>
          <w:rFonts w:hint="eastAsia" w:ascii="Times New Roman" w:hAnsi="Times New Roman" w:eastAsia="仿宋_GB2312"/>
          <w:sz w:val="32"/>
          <w:szCs w:val="32"/>
        </w:rPr>
        <w:t>，</w:t>
      </w:r>
      <w:r>
        <w:rPr>
          <w:rFonts w:ascii="Times New Roman" w:hAnsi="Times New Roman" w:eastAsia="仿宋_GB2312"/>
          <w:sz w:val="32"/>
          <w:szCs w:val="32"/>
        </w:rPr>
        <w:t>违规加大用药量或不遵守休药期规定，致使上市销售产品</w:t>
      </w:r>
      <w:r>
        <w:rPr>
          <w:rFonts w:hint="eastAsia" w:ascii="Times New Roman" w:hAnsi="Times New Roman" w:eastAsia="仿宋_GB2312"/>
          <w:sz w:val="32"/>
          <w:szCs w:val="32"/>
        </w:rPr>
        <w:t>中的药物</w:t>
      </w:r>
      <w:r>
        <w:rPr>
          <w:rFonts w:ascii="Times New Roman" w:hAnsi="Times New Roman" w:eastAsia="仿宋_GB2312"/>
          <w:sz w:val="32"/>
          <w:szCs w:val="32"/>
        </w:rPr>
        <w:t>残留</w:t>
      </w:r>
      <w:r>
        <w:rPr>
          <w:rFonts w:hint="eastAsia" w:ascii="Times New Roman" w:hAnsi="Times New Roman" w:eastAsia="仿宋_GB2312"/>
          <w:sz w:val="32"/>
          <w:szCs w:val="32"/>
        </w:rPr>
        <w:t>量</w:t>
      </w:r>
      <w:r>
        <w:rPr>
          <w:rFonts w:ascii="Times New Roman" w:hAnsi="Times New Roman" w:eastAsia="仿宋_GB2312"/>
          <w:sz w:val="32"/>
          <w:szCs w:val="32"/>
        </w:rPr>
        <w:t>超标。</w:t>
      </w:r>
    </w:p>
    <w:p>
      <w:pPr>
        <w:numPr>
          <w:ilvl w:val="255"/>
          <w:numId w:val="0"/>
        </w:numPr>
        <w:autoSpaceDE w:val="0"/>
        <w:spacing w:line="594" w:lineRule="exact"/>
        <w:ind w:firstLine="640" w:firstLineChars="200"/>
        <w:rPr>
          <w:rFonts w:hint="eastAsia" w:ascii="Times New Roman" w:hAnsi="Times New Roman" w:eastAsia="黑体"/>
          <w:spacing w:val="0"/>
          <w:sz w:val="32"/>
          <w:szCs w:val="32"/>
        </w:rPr>
      </w:pPr>
      <w:r>
        <w:rPr>
          <w:rFonts w:hint="eastAsia" w:ascii="Times New Roman" w:hAnsi="Times New Roman" w:eastAsia="黑体"/>
          <w:spacing w:val="0"/>
          <w:sz w:val="32"/>
          <w:szCs w:val="32"/>
          <w:lang w:eastAsia="zh-CN"/>
        </w:rPr>
        <w:t>七</w:t>
      </w:r>
      <w:r>
        <w:rPr>
          <w:rFonts w:hint="eastAsia" w:ascii="Times New Roman" w:hAnsi="Times New Roman" w:eastAsia="黑体"/>
          <w:spacing w:val="0"/>
          <w:sz w:val="32"/>
          <w:szCs w:val="32"/>
        </w:rPr>
        <w:t>、灭蝇胺</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灭蝇胺</w:t>
      </w:r>
      <w:r>
        <w:rPr>
          <w:rFonts w:hint="eastAsia" w:ascii="Times New Roman" w:hAnsi="Times New Roman" w:eastAsia="仿宋_GB2312"/>
          <w:sz w:val="32"/>
          <w:szCs w:val="32"/>
        </w:rPr>
        <w:t>是</w:t>
      </w:r>
      <w:r>
        <w:rPr>
          <w:rFonts w:ascii="Times New Roman" w:hAnsi="Times New Roman" w:eastAsia="仿宋_GB2312"/>
          <w:sz w:val="32"/>
          <w:szCs w:val="32"/>
        </w:rPr>
        <w:t>一种具有触杀功能的昆虫生长调节剂，</w:t>
      </w:r>
      <w:r>
        <w:rPr>
          <w:rFonts w:hint="eastAsia" w:ascii="Times New Roman" w:hAnsi="Times New Roman" w:eastAsia="仿宋_GB2312"/>
          <w:sz w:val="32"/>
          <w:szCs w:val="32"/>
        </w:rPr>
        <w:t>干扰蜕皮和蛹化。</w:t>
      </w:r>
      <w:r>
        <w:rPr>
          <w:rFonts w:ascii="Times New Roman" w:hAnsi="Times New Roman" w:eastAsia="仿宋_GB2312"/>
          <w:sz w:val="32"/>
          <w:szCs w:val="32"/>
        </w:rPr>
        <w:t>对</w:t>
      </w:r>
      <w:r>
        <w:rPr>
          <w:rFonts w:hint="eastAsia" w:ascii="Times New Roman" w:hAnsi="Times New Roman" w:eastAsia="仿宋_GB2312"/>
          <w:color w:val="000000"/>
          <w:sz w:val="32"/>
          <w:szCs w:val="32"/>
        </w:rPr>
        <w:t>美洲斑潜蝇</w:t>
      </w:r>
      <w:r>
        <w:rPr>
          <w:rFonts w:hint="eastAsia" w:ascii="Times New Roman" w:hAnsi="Times New Roman" w:eastAsia="仿宋_GB2312"/>
          <w:sz w:val="32"/>
          <w:szCs w:val="32"/>
        </w:rPr>
        <w:t>等</w:t>
      </w:r>
      <w:r>
        <w:rPr>
          <w:rFonts w:hint="eastAsia" w:ascii="Times New Roman" w:hAnsi="Times New Roman" w:eastAsia="仿宋_GB2312"/>
          <w:color w:val="000000"/>
          <w:sz w:val="32"/>
          <w:szCs w:val="32"/>
        </w:rPr>
        <w:t>有较好防效</w:t>
      </w:r>
      <w:r>
        <w:rPr>
          <w:rFonts w:hint="eastAsia" w:ascii="Times New Roman" w:hAnsi="Times New Roman" w:eastAsia="仿宋_GB2312"/>
          <w:sz w:val="32"/>
          <w:szCs w:val="32"/>
        </w:rPr>
        <w:t>。长期食用</w:t>
      </w:r>
      <w:r>
        <w:rPr>
          <w:rFonts w:ascii="Times New Roman" w:hAnsi="Times New Roman" w:eastAsia="仿宋_GB2312"/>
          <w:sz w:val="32"/>
          <w:szCs w:val="32"/>
        </w:rPr>
        <w:t>灭蝇胺</w:t>
      </w:r>
      <w:r>
        <w:rPr>
          <w:rFonts w:hint="eastAsia" w:ascii="Times New Roman" w:hAnsi="Times New Roman" w:eastAsia="仿宋_GB2312"/>
          <w:sz w:val="32"/>
          <w:szCs w:val="32"/>
        </w:rPr>
        <w:t>残留超标的食品，对人体健康可能有一定影响。</w:t>
      </w:r>
      <w:r>
        <w:rPr>
          <w:rFonts w:ascii="Times New Roman" w:hAnsi="Times New Roman" w:eastAsia="仿宋_GB2312"/>
          <w:sz w:val="32"/>
          <w:szCs w:val="32"/>
        </w:rPr>
        <w:t>《食品安全国家标准 食品中农药最大残留限量》（GB 2763</w:t>
      </w:r>
      <w:r>
        <w:rPr>
          <w:rFonts w:hint="eastAsia" w:ascii="仿宋_GB2312" w:hAnsi="Times New Roman" w:eastAsia="仿宋_GB2312"/>
          <w:sz w:val="32"/>
          <w:szCs w:val="32"/>
        </w:rPr>
        <w:t>—</w:t>
      </w:r>
      <w:r>
        <w:rPr>
          <w:rFonts w:ascii="Times New Roman" w:hAnsi="Times New Roman" w:eastAsia="仿宋_GB2312"/>
          <w:sz w:val="32"/>
          <w:szCs w:val="32"/>
        </w:rPr>
        <w:t>2019）中规定，灭蝇胺</w:t>
      </w:r>
      <w:r>
        <w:rPr>
          <w:rFonts w:hint="eastAsia" w:ascii="Times New Roman" w:hAnsi="Times New Roman" w:eastAsia="仿宋_GB2312"/>
          <w:sz w:val="32"/>
          <w:szCs w:val="32"/>
        </w:rPr>
        <w:t>在豇豆中</w:t>
      </w:r>
      <w:r>
        <w:rPr>
          <w:rFonts w:ascii="Times New Roman" w:hAnsi="Times New Roman" w:eastAsia="仿宋_GB2312"/>
          <w:sz w:val="32"/>
          <w:szCs w:val="32"/>
        </w:rPr>
        <w:t>的最大残留限量</w:t>
      </w:r>
      <w:r>
        <w:rPr>
          <w:rFonts w:hint="eastAsia" w:ascii="Times New Roman" w:hAnsi="Times New Roman" w:eastAsia="仿宋_GB2312"/>
          <w:sz w:val="32"/>
          <w:szCs w:val="32"/>
        </w:rPr>
        <w:t>值</w:t>
      </w:r>
      <w:r>
        <w:rPr>
          <w:rFonts w:ascii="Times New Roman" w:hAnsi="Times New Roman" w:eastAsia="仿宋_GB2312"/>
          <w:sz w:val="32"/>
          <w:szCs w:val="32"/>
        </w:rPr>
        <w:t>为0.5mg/kg。豇豆中灭蝇胺</w:t>
      </w:r>
      <w:r>
        <w:rPr>
          <w:rFonts w:hint="eastAsia" w:ascii="Times New Roman" w:hAnsi="Times New Roman" w:eastAsia="仿宋_GB2312"/>
          <w:sz w:val="32"/>
          <w:szCs w:val="32"/>
        </w:rPr>
        <w:t>残留量</w:t>
      </w:r>
      <w:r>
        <w:rPr>
          <w:rFonts w:ascii="Times New Roman" w:hAnsi="Times New Roman" w:eastAsia="仿宋_GB2312"/>
          <w:sz w:val="32"/>
          <w:szCs w:val="32"/>
        </w:rPr>
        <w:t>超标</w:t>
      </w:r>
      <w:r>
        <w:rPr>
          <w:rFonts w:hint="eastAsia" w:ascii="Times New Roman" w:hAnsi="Times New Roman" w:eastAsia="仿宋_GB2312"/>
          <w:sz w:val="32"/>
          <w:szCs w:val="32"/>
        </w:rPr>
        <w:t>的原因</w:t>
      </w:r>
      <w:r>
        <w:rPr>
          <w:rFonts w:ascii="Times New Roman" w:hAnsi="Times New Roman" w:eastAsia="仿宋_GB2312"/>
          <w:sz w:val="32"/>
          <w:szCs w:val="32"/>
        </w:rPr>
        <w:t>，</w:t>
      </w:r>
      <w:r>
        <w:rPr>
          <w:rFonts w:hint="eastAsia" w:ascii="Times New Roman" w:hAnsi="Times New Roman" w:eastAsia="仿宋_GB2312"/>
          <w:sz w:val="32"/>
          <w:szCs w:val="32"/>
        </w:rPr>
        <w:t>可能是为保证豇豆收成和良好卖相，</w:t>
      </w:r>
      <w:r>
        <w:rPr>
          <w:rFonts w:ascii="Times New Roman" w:hAnsi="Times New Roman" w:eastAsia="仿宋_GB2312"/>
          <w:sz w:val="32"/>
          <w:szCs w:val="32"/>
        </w:rPr>
        <w:t>加大用药量</w:t>
      </w:r>
      <w:r>
        <w:rPr>
          <w:rFonts w:hint="eastAsia" w:ascii="Times New Roman" w:hAnsi="Times New Roman" w:eastAsia="仿宋_GB2312"/>
          <w:sz w:val="32"/>
          <w:szCs w:val="32"/>
        </w:rPr>
        <w:t>或</w:t>
      </w:r>
      <w:r>
        <w:rPr>
          <w:rFonts w:ascii="Times New Roman" w:hAnsi="Times New Roman" w:eastAsia="仿宋_GB2312"/>
          <w:sz w:val="32"/>
          <w:szCs w:val="32"/>
        </w:rPr>
        <w:t>未遵守采摘间隔期</w:t>
      </w:r>
      <w:r>
        <w:rPr>
          <w:rFonts w:hint="eastAsia" w:ascii="Times New Roman" w:hAnsi="Times New Roman" w:eastAsia="仿宋_GB2312"/>
          <w:sz w:val="32"/>
          <w:szCs w:val="32"/>
        </w:rPr>
        <w:t>规定</w:t>
      </w:r>
      <w:r>
        <w:rPr>
          <w:rFonts w:ascii="Times New Roman" w:hAnsi="Times New Roman" w:eastAsia="仿宋_GB2312"/>
          <w:sz w:val="32"/>
          <w:szCs w:val="32"/>
        </w:rPr>
        <w:t>，致使上市销售</w:t>
      </w:r>
      <w:r>
        <w:rPr>
          <w:rFonts w:hint="eastAsia" w:ascii="Times New Roman" w:hAnsi="Times New Roman" w:eastAsia="仿宋_GB2312"/>
          <w:sz w:val="32"/>
          <w:szCs w:val="32"/>
        </w:rPr>
        <w:t>的产品中残留量超标</w:t>
      </w:r>
      <w:r>
        <w:rPr>
          <w:rFonts w:ascii="Times New Roman" w:hAnsi="Times New Roman" w:eastAsia="仿宋_GB2312"/>
          <w:sz w:val="32"/>
          <w:szCs w:val="32"/>
        </w:rPr>
        <w:t>。</w:t>
      </w:r>
    </w:p>
    <w:p>
      <w:pPr>
        <w:numPr>
          <w:ilvl w:val="255"/>
          <w:numId w:val="0"/>
        </w:numPr>
        <w:autoSpaceDE w:val="0"/>
        <w:spacing w:line="594" w:lineRule="exact"/>
        <w:ind w:firstLine="640" w:firstLineChars="200"/>
        <w:rPr>
          <w:rFonts w:hint="eastAsia" w:ascii="Times New Roman" w:hAnsi="Times New Roman" w:eastAsia="黑体"/>
          <w:spacing w:val="0"/>
          <w:sz w:val="32"/>
          <w:szCs w:val="32"/>
        </w:rPr>
      </w:pPr>
      <w:r>
        <w:rPr>
          <w:rFonts w:hint="eastAsia" w:ascii="Times New Roman" w:hAnsi="Times New Roman" w:eastAsia="黑体"/>
          <w:spacing w:val="0"/>
          <w:sz w:val="32"/>
          <w:szCs w:val="32"/>
          <w:lang w:eastAsia="zh-CN"/>
        </w:rPr>
        <w:t>八</w:t>
      </w:r>
      <w:r>
        <w:rPr>
          <w:rFonts w:hint="eastAsia" w:ascii="Times New Roman" w:hAnsi="Times New Roman" w:eastAsia="黑体"/>
          <w:spacing w:val="0"/>
          <w:sz w:val="32"/>
          <w:szCs w:val="32"/>
        </w:rPr>
        <w:t>、亮蓝</w:t>
      </w:r>
    </w:p>
    <w:p>
      <w:pPr>
        <w:autoSpaceDE w:val="0"/>
        <w:adjustRightInd w:val="0"/>
        <w:snapToGrid w:val="0"/>
        <w:spacing w:line="594"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亮蓝又名食用蓝色2号，水溶性非偶氮类化合物，是常见的人工合成着色剂，在食品生产中应用广泛。如果长期摄入亮蓝超标的食品，存在致畸、致癌的可能性。《食品安全国家标准 食品添加剂使用标准》（GB 2760</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2014）中规定，凉果类</w:t>
      </w:r>
      <w:r>
        <w:rPr>
          <w:rFonts w:hint="eastAsia" w:ascii="Times New Roman" w:hAnsi="Times New Roman" w:eastAsia="仿宋_GB2312"/>
          <w:color w:val="000000" w:themeColor="text1"/>
          <w:sz w:val="32"/>
          <w:szCs w:val="32"/>
          <w14:textFill>
            <w14:solidFill>
              <w14:schemeClr w14:val="tx1"/>
            </w14:solidFill>
          </w14:textFill>
        </w:rPr>
        <w:t>蜜饯</w:t>
      </w:r>
      <w:r>
        <w:rPr>
          <w:rFonts w:ascii="Times New Roman" w:hAnsi="Times New Roman" w:eastAsia="仿宋_GB2312"/>
          <w:color w:val="000000" w:themeColor="text1"/>
          <w:sz w:val="32"/>
          <w:szCs w:val="32"/>
          <w14:textFill>
            <w14:solidFill>
              <w14:schemeClr w14:val="tx1"/>
            </w14:solidFill>
          </w14:textFill>
        </w:rPr>
        <w:t>中亮蓝的最大使用量为0.025g/kg。</w:t>
      </w:r>
      <w:r>
        <w:rPr>
          <w:rFonts w:hint="eastAsia" w:ascii="Times New Roman" w:hAnsi="Times New Roman" w:eastAsia="仿宋_GB2312"/>
          <w:color w:val="000000" w:themeColor="text1"/>
          <w:sz w:val="32"/>
          <w:szCs w:val="32"/>
          <w14:textFill>
            <w14:solidFill>
              <w14:schemeClr w14:val="tx1"/>
            </w14:solidFill>
          </w14:textFill>
        </w:rPr>
        <w:t>凉果类蜜饯</w:t>
      </w:r>
      <w:r>
        <w:rPr>
          <w:rFonts w:ascii="Times New Roman" w:hAnsi="Times New Roman" w:eastAsia="仿宋_GB2312"/>
          <w:color w:val="000000" w:themeColor="text1"/>
          <w:sz w:val="32"/>
          <w:szCs w:val="32"/>
          <w14:textFill>
            <w14:solidFill>
              <w14:schemeClr w14:val="tx1"/>
            </w14:solidFill>
          </w14:textFill>
        </w:rPr>
        <w:t>中亮蓝</w:t>
      </w:r>
      <w:r>
        <w:rPr>
          <w:rFonts w:hint="eastAsia" w:ascii="Times New Roman" w:hAnsi="Times New Roman" w:eastAsia="仿宋_GB2312"/>
          <w:color w:val="000000" w:themeColor="text1"/>
          <w:sz w:val="32"/>
          <w:szCs w:val="32"/>
          <w:lang w:eastAsia="zh-CN"/>
          <w14:textFill>
            <w14:solidFill>
              <w14:schemeClr w14:val="tx1"/>
            </w14:solidFill>
          </w14:textFill>
        </w:rPr>
        <w:t>检测值</w:t>
      </w:r>
      <w:r>
        <w:rPr>
          <w:rFonts w:ascii="Times New Roman" w:hAnsi="Times New Roman" w:eastAsia="仿宋_GB2312"/>
          <w:color w:val="000000" w:themeColor="text1"/>
          <w:sz w:val="32"/>
          <w:szCs w:val="32"/>
          <w14:textFill>
            <w14:solidFill>
              <w14:schemeClr w14:val="tx1"/>
            </w14:solidFill>
          </w14:textFill>
        </w:rPr>
        <w:t>超标的原因，可能是生产过程中计量不准导致终产品亮蓝超标，也可能是生产企业为改善产品色泽、提高市场价值而过量使用，还可能是企业掺假造假滥用色素。</w:t>
      </w:r>
    </w:p>
    <w:p>
      <w:pPr>
        <w:numPr>
          <w:ilvl w:val="255"/>
          <w:numId w:val="0"/>
        </w:numPr>
        <w:autoSpaceDE w:val="0"/>
        <w:spacing w:line="594" w:lineRule="exact"/>
        <w:ind w:firstLine="640" w:firstLineChars="200"/>
        <w:rPr>
          <w:rFonts w:hint="eastAsia" w:ascii="Times New Roman" w:hAnsi="Times New Roman" w:eastAsia="黑体"/>
          <w:spacing w:val="0"/>
          <w:sz w:val="32"/>
          <w:szCs w:val="32"/>
        </w:rPr>
      </w:pPr>
      <w:r>
        <w:rPr>
          <w:rFonts w:hint="eastAsia" w:ascii="Times New Roman" w:hAnsi="Times New Roman" w:eastAsia="黑体"/>
          <w:spacing w:val="0"/>
          <w:sz w:val="32"/>
          <w:szCs w:val="32"/>
          <w:lang w:eastAsia="zh-CN"/>
        </w:rPr>
        <w:t>九</w:t>
      </w:r>
      <w:r>
        <w:rPr>
          <w:rFonts w:hint="eastAsia" w:ascii="Times New Roman" w:hAnsi="Times New Roman" w:eastAsia="黑体"/>
          <w:spacing w:val="0"/>
          <w:sz w:val="32"/>
          <w:szCs w:val="32"/>
        </w:rPr>
        <w:t>、苋菜红</w:t>
      </w:r>
    </w:p>
    <w:p>
      <w:pPr>
        <w:autoSpaceDE w:val="0"/>
        <w:adjustRightInd w:val="0"/>
        <w:snapToGrid w:val="0"/>
        <w:spacing w:line="594"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苋菜红又名蓝光酸性红，偶氮类化合物，是常见的人工合成着色剂，在食品生产中应用广泛。如果长期摄入苋菜红超标的食品，存在致畸、致癌的可能性。《食品安全国家标准 食品添加剂使用标准》（GB 2760</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2014）中规定，蜜饯凉果中苋菜红的最大使用量为0.05g/kg。</w:t>
      </w:r>
      <w:r>
        <w:rPr>
          <w:rFonts w:hint="eastAsia" w:ascii="Times New Roman" w:hAnsi="Times New Roman" w:eastAsia="仿宋_GB2312"/>
          <w:color w:val="000000" w:themeColor="text1"/>
          <w:sz w:val="32"/>
          <w:szCs w:val="32"/>
          <w14:textFill>
            <w14:solidFill>
              <w14:schemeClr w14:val="tx1"/>
            </w14:solidFill>
          </w14:textFill>
        </w:rPr>
        <w:t>凉果类蜜饯</w:t>
      </w:r>
      <w:r>
        <w:rPr>
          <w:rFonts w:ascii="Times New Roman" w:hAnsi="Times New Roman" w:eastAsia="仿宋_GB2312"/>
          <w:color w:val="000000" w:themeColor="text1"/>
          <w:sz w:val="32"/>
          <w:szCs w:val="32"/>
          <w14:textFill>
            <w14:solidFill>
              <w14:schemeClr w14:val="tx1"/>
            </w14:solidFill>
          </w14:textFill>
        </w:rPr>
        <w:t>中苋菜红</w:t>
      </w:r>
      <w:r>
        <w:rPr>
          <w:rFonts w:hint="eastAsia" w:ascii="Times New Roman" w:hAnsi="Times New Roman" w:eastAsia="仿宋_GB2312"/>
          <w:color w:val="000000" w:themeColor="text1"/>
          <w:sz w:val="32"/>
          <w:szCs w:val="32"/>
          <w14:textFill>
            <w14:solidFill>
              <w14:schemeClr w14:val="tx1"/>
            </w14:solidFill>
          </w14:textFill>
        </w:rPr>
        <w:t>检测值</w:t>
      </w:r>
      <w:r>
        <w:rPr>
          <w:rFonts w:ascii="Times New Roman" w:hAnsi="Times New Roman" w:eastAsia="仿宋_GB2312"/>
          <w:color w:val="000000" w:themeColor="text1"/>
          <w:sz w:val="32"/>
          <w:szCs w:val="32"/>
          <w14:textFill>
            <w14:solidFill>
              <w14:schemeClr w14:val="tx1"/>
            </w14:solidFill>
          </w14:textFill>
        </w:rPr>
        <w:t>超标的原因，可能是生产过程中计量不准导致终产品苋菜红超标，也可能是生产企业为改善产品色泽、提高市场价值而过量使用，还可能是企业掺假造假滥用色素。</w:t>
      </w:r>
    </w:p>
    <w:p>
      <w:pPr>
        <w:numPr>
          <w:ilvl w:val="255"/>
          <w:numId w:val="0"/>
        </w:numPr>
        <w:autoSpaceDE w:val="0"/>
        <w:spacing w:line="594" w:lineRule="exact"/>
        <w:ind w:firstLine="640" w:firstLineChars="200"/>
        <w:rPr>
          <w:rFonts w:hint="eastAsia" w:ascii="Times New Roman" w:hAnsi="Times New Roman" w:eastAsia="黑体"/>
          <w:spacing w:val="0"/>
          <w:sz w:val="32"/>
          <w:szCs w:val="32"/>
        </w:rPr>
      </w:pPr>
      <w:r>
        <w:rPr>
          <w:rFonts w:hint="eastAsia" w:ascii="Times New Roman" w:hAnsi="Times New Roman" w:eastAsia="黑体"/>
          <w:spacing w:val="0"/>
          <w:sz w:val="32"/>
          <w:szCs w:val="32"/>
        </w:rPr>
        <w:t>十、相同色泽着色剂混合使用时各自用量占其最大使用量的比例之和</w:t>
      </w:r>
    </w:p>
    <w:p>
      <w:pPr>
        <w:autoSpaceDE w:val="0"/>
        <w:adjustRightInd w:val="0"/>
        <w:snapToGrid w:val="0"/>
        <w:spacing w:line="594"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着色剂又称食用色素，用于赋予和改善食品的色泽。如果长期过量摄入，会加重肝脏和胃肠道的负担，对人体健康造成一定危害。《食品安全国家标准 食品添加剂使用标准》（GB 2760</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2014）中规定，相同色泽着色剂在混合使用时，各自用量占其最大使用量的比例之和不得超过1。</w:t>
      </w:r>
      <w:r>
        <w:rPr>
          <w:rFonts w:hint="eastAsia" w:ascii="Times New Roman" w:hAnsi="Times New Roman" w:eastAsia="仿宋_GB2312"/>
          <w:color w:val="000000" w:themeColor="text1"/>
          <w:sz w:val="32"/>
          <w:szCs w:val="32"/>
          <w14:textFill>
            <w14:solidFill>
              <w14:schemeClr w14:val="tx1"/>
            </w14:solidFill>
          </w14:textFill>
        </w:rPr>
        <w:t>凉果类蜜饯</w:t>
      </w:r>
      <w:r>
        <w:rPr>
          <w:rFonts w:ascii="Times New Roman" w:hAnsi="Times New Roman" w:eastAsia="仿宋_GB2312"/>
          <w:color w:val="000000" w:themeColor="text1"/>
          <w:sz w:val="32"/>
          <w:szCs w:val="32"/>
          <w14:textFill>
            <w14:solidFill>
              <w14:schemeClr w14:val="tx1"/>
            </w14:solidFill>
          </w14:textFill>
        </w:rPr>
        <w:t>中相同色泽着色剂混合使用时各自用量占其最大使用量的比例之和</w:t>
      </w:r>
      <w:r>
        <w:rPr>
          <w:rFonts w:hint="eastAsia" w:ascii="Times New Roman" w:hAnsi="Times New Roman" w:eastAsia="仿宋_GB2312"/>
          <w:color w:val="000000" w:themeColor="text1"/>
          <w:sz w:val="32"/>
          <w:szCs w:val="32"/>
          <w:lang w:eastAsia="zh-CN"/>
          <w14:textFill>
            <w14:solidFill>
              <w14:schemeClr w14:val="tx1"/>
            </w14:solidFill>
          </w14:textFill>
        </w:rPr>
        <w:t>检测值</w:t>
      </w:r>
      <w:r>
        <w:rPr>
          <w:rFonts w:ascii="Times New Roman" w:hAnsi="Times New Roman" w:eastAsia="仿宋_GB2312"/>
          <w:color w:val="000000" w:themeColor="text1"/>
          <w:sz w:val="32"/>
          <w:szCs w:val="32"/>
          <w14:textFill>
            <w14:solidFill>
              <w14:schemeClr w14:val="tx1"/>
            </w14:solidFill>
          </w14:textFill>
        </w:rPr>
        <w:t>超标的原因，可能是生产企业对食品安全国家标准不了解而超限量添加多种相同色泽着色剂，也可能是在生产加工过程中未严格控制各相同色泽着色剂的用量。</w:t>
      </w:r>
    </w:p>
    <w:p>
      <w:pPr>
        <w:numPr>
          <w:ilvl w:val="255"/>
          <w:numId w:val="0"/>
        </w:numPr>
        <w:autoSpaceDE w:val="0"/>
        <w:spacing w:line="594" w:lineRule="exact"/>
        <w:ind w:firstLine="640" w:firstLineChars="200"/>
        <w:rPr>
          <w:rFonts w:hint="eastAsia" w:ascii="Times New Roman" w:hAnsi="Times New Roman" w:eastAsia="黑体"/>
          <w:spacing w:val="0"/>
          <w:sz w:val="32"/>
          <w:szCs w:val="32"/>
        </w:rPr>
      </w:pPr>
      <w:r>
        <w:rPr>
          <w:rFonts w:hint="eastAsia" w:ascii="Times New Roman" w:hAnsi="Times New Roman" w:eastAsia="黑体"/>
          <w:spacing w:val="0"/>
          <w:sz w:val="32"/>
          <w:szCs w:val="32"/>
        </w:rPr>
        <w:t>十</w:t>
      </w:r>
      <w:r>
        <w:rPr>
          <w:rFonts w:hint="eastAsia" w:ascii="Times New Roman" w:hAnsi="Times New Roman" w:eastAsia="黑体"/>
          <w:spacing w:val="0"/>
          <w:sz w:val="32"/>
          <w:szCs w:val="32"/>
          <w:lang w:eastAsia="zh-CN"/>
        </w:rPr>
        <w:t>一</w:t>
      </w:r>
      <w:r>
        <w:rPr>
          <w:rFonts w:hint="eastAsia" w:ascii="Times New Roman" w:hAnsi="Times New Roman" w:eastAsia="黑体"/>
          <w:spacing w:val="0"/>
          <w:sz w:val="32"/>
          <w:szCs w:val="32"/>
        </w:rPr>
        <w:t>、</w:t>
      </w:r>
      <w:bookmarkStart w:id="0" w:name="_Toc7129"/>
      <w:bookmarkStart w:id="1" w:name="_Toc51169108"/>
      <w:bookmarkStart w:id="2" w:name="_Toc30395"/>
      <w:bookmarkStart w:id="3" w:name="_Toc36836034"/>
      <w:bookmarkStart w:id="4" w:name="_Toc467583412"/>
      <w:bookmarkStart w:id="5" w:name="_Toc34927186"/>
      <w:r>
        <w:rPr>
          <w:rFonts w:hint="eastAsia" w:ascii="Times New Roman" w:hAnsi="Times New Roman" w:eastAsia="黑体"/>
          <w:spacing w:val="0"/>
          <w:sz w:val="32"/>
          <w:szCs w:val="32"/>
        </w:rPr>
        <w:t>苯甲酸</w:t>
      </w:r>
      <w:bookmarkEnd w:id="0"/>
      <w:bookmarkEnd w:id="1"/>
      <w:bookmarkEnd w:id="2"/>
      <w:bookmarkEnd w:id="3"/>
      <w:bookmarkEnd w:id="4"/>
      <w:bookmarkEnd w:id="5"/>
      <w:r>
        <w:rPr>
          <w:rFonts w:hint="eastAsia" w:ascii="Times New Roman" w:hAnsi="Times New Roman" w:eastAsia="黑体"/>
          <w:spacing w:val="0"/>
          <w:sz w:val="32"/>
          <w:szCs w:val="32"/>
        </w:rPr>
        <w:t>及其钠盐（以苯甲酸计）</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苯甲酸及其钠盐是食品工业中常用的一种防腐剂，对霉菌、酵母和细菌有较好的抑制作用。长期食用苯甲酸及其钠盐超标的食品，可能造成肝脏积累性中毒，危害肝脏健康。《食品安全国家标准 食品添加剂使用标准》（GB 2760</w:t>
      </w:r>
      <w:r>
        <w:rPr>
          <w:rFonts w:hint="eastAsia" w:eastAsia="仿宋_GB2312"/>
          <w:sz w:val="32"/>
          <w:szCs w:val="32"/>
        </w:rPr>
        <w:t>—</w:t>
      </w:r>
      <w:r>
        <w:rPr>
          <w:rFonts w:ascii="Times New Roman" w:hAnsi="Times New Roman" w:eastAsia="仿宋_GB2312"/>
          <w:sz w:val="32"/>
          <w:szCs w:val="32"/>
        </w:rPr>
        <w:t>2014）中规定，苯甲酸及其钠盐（以苯甲酸计）在酱油中最大使用限量为1.0g/kg。酱油中苯甲酸及其钠盐（以苯甲酸计）检测值超标的原因，可能是生产企业为延长产品保质期，或者弥补产品生产过程卫生条件</w:t>
      </w:r>
      <w:r>
        <w:rPr>
          <w:rFonts w:hint="eastAsia" w:ascii="Times New Roman" w:hAnsi="Times New Roman" w:eastAsia="仿宋_GB2312"/>
          <w:sz w:val="32"/>
          <w:szCs w:val="32"/>
        </w:rPr>
        <w:t>不佳</w:t>
      </w:r>
      <w:r>
        <w:rPr>
          <w:rFonts w:ascii="Times New Roman" w:hAnsi="Times New Roman" w:eastAsia="仿宋_GB2312"/>
          <w:sz w:val="32"/>
          <w:szCs w:val="32"/>
        </w:rPr>
        <w:t>而超限量使用</w:t>
      </w:r>
      <w:r>
        <w:rPr>
          <w:rFonts w:hint="eastAsia" w:ascii="Times New Roman" w:hAnsi="Times New Roman" w:eastAsia="仿宋_GB2312"/>
          <w:sz w:val="32"/>
          <w:szCs w:val="32"/>
          <w:lang w:eastAsia="zh-CN"/>
        </w:rPr>
        <w:t>，</w:t>
      </w:r>
      <w:r>
        <w:rPr>
          <w:rFonts w:ascii="Times New Roman" w:hAnsi="Times New Roman" w:eastAsia="仿宋_GB2312"/>
          <w:sz w:val="32"/>
          <w:szCs w:val="32"/>
        </w:rPr>
        <w:t>也可能是在使用过程中未准确计量。</w:t>
      </w:r>
    </w:p>
    <w:p>
      <w:pPr>
        <w:numPr>
          <w:ilvl w:val="255"/>
          <w:numId w:val="0"/>
        </w:numPr>
        <w:autoSpaceDE w:val="0"/>
        <w:spacing w:line="594" w:lineRule="exact"/>
        <w:ind w:firstLine="640" w:firstLineChars="200"/>
        <w:rPr>
          <w:rFonts w:hint="eastAsia" w:ascii="Times New Roman" w:hAnsi="Times New Roman" w:eastAsia="黑体"/>
          <w:spacing w:val="0"/>
          <w:sz w:val="32"/>
          <w:szCs w:val="32"/>
        </w:rPr>
      </w:pPr>
      <w:r>
        <w:rPr>
          <w:rFonts w:hint="eastAsia" w:ascii="Times New Roman" w:hAnsi="Times New Roman" w:eastAsia="黑体"/>
          <w:spacing w:val="0"/>
          <w:sz w:val="32"/>
          <w:szCs w:val="32"/>
        </w:rPr>
        <w:t>十</w:t>
      </w:r>
      <w:r>
        <w:rPr>
          <w:rFonts w:hint="eastAsia" w:ascii="Times New Roman" w:hAnsi="Times New Roman" w:eastAsia="黑体"/>
          <w:spacing w:val="0"/>
          <w:sz w:val="32"/>
          <w:szCs w:val="32"/>
          <w:lang w:eastAsia="zh-CN"/>
        </w:rPr>
        <w:t>二</w:t>
      </w:r>
      <w:r>
        <w:rPr>
          <w:rFonts w:hint="eastAsia" w:ascii="Times New Roman" w:hAnsi="Times New Roman" w:eastAsia="黑体"/>
          <w:spacing w:val="0"/>
          <w:sz w:val="32"/>
          <w:szCs w:val="32"/>
        </w:rPr>
        <w:t>、氨基酸态氮（以氮计）</w:t>
      </w:r>
    </w:p>
    <w:p>
      <w:pPr>
        <w:spacing w:line="594"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氨基酸态氮是酱油的特征性品质指标之一，氨基酸态氮含量越高，酱油鲜味越浓，反映酱油的质量越好。氨基酸态氮不合格主要影响产品的品质。《酿造酱油》（GB/T 18186</w:t>
      </w:r>
      <w:r>
        <w:rPr>
          <w:rFonts w:hint="eastAsia" w:eastAsia="仿宋_GB2312"/>
          <w:sz w:val="32"/>
          <w:szCs w:val="32"/>
        </w:rPr>
        <w:t>—</w:t>
      </w:r>
      <w:r>
        <w:rPr>
          <w:rFonts w:ascii="Times New Roman" w:hAnsi="Times New Roman" w:eastAsia="仿宋_GB2312"/>
          <w:sz w:val="32"/>
          <w:szCs w:val="32"/>
        </w:rPr>
        <w:t>2000）中规定酱油中氨基酸态氮</w:t>
      </w:r>
      <w:r>
        <w:rPr>
          <w:rFonts w:hint="eastAsia" w:ascii="Times New Roman" w:hAnsi="Times New Roman" w:eastAsia="仿宋_GB2312"/>
          <w:sz w:val="32"/>
          <w:szCs w:val="32"/>
        </w:rPr>
        <w:t>含量不得低于</w:t>
      </w:r>
      <w:r>
        <w:rPr>
          <w:rFonts w:ascii="Times New Roman" w:hAnsi="Times New Roman" w:eastAsia="仿宋_GB2312"/>
          <w:sz w:val="32"/>
          <w:szCs w:val="32"/>
        </w:rPr>
        <w:t>0.40g/100mL，该批次产品中氨基酸态氮的检测值</w:t>
      </w:r>
      <w:r>
        <w:rPr>
          <w:rFonts w:hint="eastAsia" w:ascii="Times New Roman" w:hAnsi="Times New Roman" w:eastAsia="仿宋_GB2312"/>
          <w:sz w:val="32"/>
          <w:szCs w:val="32"/>
        </w:rPr>
        <w:t>既</w:t>
      </w:r>
      <w:r>
        <w:rPr>
          <w:rFonts w:ascii="Times New Roman" w:hAnsi="Times New Roman" w:eastAsia="仿宋_GB2312"/>
          <w:sz w:val="32"/>
          <w:szCs w:val="32"/>
        </w:rPr>
        <w:t>不符合产品执行标准</w:t>
      </w:r>
      <w:bookmarkStart w:id="6" w:name="_Hlk72386354"/>
      <w:r>
        <w:rPr>
          <w:rFonts w:hint="eastAsia" w:ascii="Times New Roman" w:hAnsi="Times New Roman" w:eastAsia="仿宋_GB2312"/>
          <w:sz w:val="32"/>
          <w:szCs w:val="32"/>
        </w:rPr>
        <w:t>要求，也不符合产品标签标识要求</w:t>
      </w:r>
      <w:bookmarkEnd w:id="6"/>
      <w:r>
        <w:rPr>
          <w:rFonts w:ascii="Times New Roman" w:hAnsi="Times New Roman" w:eastAsia="仿宋_GB2312"/>
          <w:sz w:val="32"/>
          <w:szCs w:val="32"/>
        </w:rPr>
        <w:t>。酱油</w:t>
      </w:r>
      <w:r>
        <w:rPr>
          <w:rFonts w:hint="eastAsia" w:ascii="Times New Roman" w:hAnsi="Times New Roman" w:eastAsia="仿宋_GB2312"/>
          <w:sz w:val="32"/>
          <w:szCs w:val="32"/>
        </w:rPr>
        <w:t>中</w:t>
      </w:r>
      <w:r>
        <w:rPr>
          <w:rFonts w:ascii="Times New Roman" w:hAnsi="Times New Roman" w:eastAsia="仿宋_GB2312"/>
          <w:sz w:val="32"/>
          <w:szCs w:val="32"/>
        </w:rPr>
        <w:t>氨基酸态氮含量不达标的原因，可能是原料采购环节质量把关不严；也可能是企业生产工艺控制不严，如酿造周期未达要求；还可能是企业在生产过程中为降低成本而</w:t>
      </w:r>
      <w:r>
        <w:rPr>
          <w:rFonts w:hint="eastAsia" w:ascii="Times New Roman" w:hAnsi="Times New Roman" w:eastAsia="仿宋_GB2312"/>
          <w:sz w:val="32"/>
          <w:szCs w:val="32"/>
        </w:rPr>
        <w:t>以次充好</w:t>
      </w:r>
      <w:r>
        <w:rPr>
          <w:rFonts w:ascii="Times New Roman" w:hAnsi="Times New Roman" w:eastAsia="仿宋_GB2312"/>
          <w:sz w:val="32"/>
          <w:szCs w:val="32"/>
        </w:rPr>
        <w:t>。</w:t>
      </w:r>
    </w:p>
    <w:p>
      <w:pPr>
        <w:numPr>
          <w:ilvl w:val="255"/>
          <w:numId w:val="0"/>
        </w:numPr>
        <w:autoSpaceDE w:val="0"/>
        <w:spacing w:line="594" w:lineRule="exact"/>
        <w:ind w:firstLine="640" w:firstLineChars="200"/>
        <w:rPr>
          <w:rFonts w:hint="eastAsia" w:ascii="Times New Roman" w:hAnsi="Times New Roman" w:eastAsia="黑体"/>
          <w:spacing w:val="0"/>
          <w:sz w:val="32"/>
          <w:szCs w:val="32"/>
        </w:rPr>
      </w:pPr>
      <w:r>
        <w:rPr>
          <w:rFonts w:hint="eastAsia" w:ascii="Times New Roman" w:hAnsi="Times New Roman" w:eastAsia="黑体"/>
          <w:spacing w:val="0"/>
          <w:sz w:val="32"/>
          <w:szCs w:val="32"/>
        </w:rPr>
        <w:t>十</w:t>
      </w:r>
      <w:r>
        <w:rPr>
          <w:rFonts w:hint="eastAsia" w:ascii="Times New Roman" w:hAnsi="Times New Roman" w:eastAsia="黑体"/>
          <w:spacing w:val="0"/>
          <w:sz w:val="32"/>
          <w:szCs w:val="32"/>
          <w:lang w:eastAsia="zh-CN"/>
        </w:rPr>
        <w:t>三</w:t>
      </w:r>
      <w:r>
        <w:rPr>
          <w:rFonts w:hint="eastAsia" w:ascii="Times New Roman" w:hAnsi="Times New Roman" w:eastAsia="黑体"/>
          <w:spacing w:val="0"/>
          <w:sz w:val="32"/>
          <w:szCs w:val="32"/>
        </w:rPr>
        <w:t>、防腐剂混合使用时各自用量占其最大使用量的比例之和</w:t>
      </w:r>
    </w:p>
    <w:p>
      <w:pPr>
        <w:adjustRightInd w:val="0"/>
        <w:snapToGrid w:val="0"/>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防腐剂是常见的食品添加剂，指天然或合成的化学成分，用于延缓或抑制由微生物引起的食品腐败变质。长期食用防腐剂超标的食品会对人体健康造成损害。《食品安全国家标准 食品添加剂使用标准》（GB 2760</w:t>
      </w:r>
      <w:r>
        <w:rPr>
          <w:rFonts w:hint="eastAsia" w:ascii="仿宋_GB2312" w:hAnsi="Times New Roman" w:eastAsia="仿宋_GB2312"/>
          <w:sz w:val="32"/>
          <w:szCs w:val="32"/>
        </w:rPr>
        <w:t>—</w:t>
      </w:r>
      <w:r>
        <w:rPr>
          <w:rFonts w:ascii="Times New Roman" w:hAnsi="Times New Roman" w:eastAsia="仿宋_GB2312"/>
          <w:sz w:val="32"/>
          <w:szCs w:val="32"/>
        </w:rPr>
        <w:t>2014）中规定，防腐剂在混合使用时各自用量占其最大使用量的比例之和不应超过1。蜜饯中防腐剂混合使用时各自用量占其最大使用量的比例之和</w:t>
      </w:r>
      <w:r>
        <w:rPr>
          <w:rFonts w:hint="eastAsia" w:ascii="Times New Roman" w:hAnsi="Times New Roman" w:eastAsia="仿宋_GB2312"/>
          <w:sz w:val="32"/>
          <w:szCs w:val="32"/>
          <w:lang w:eastAsia="zh-CN"/>
        </w:rPr>
        <w:t>检测值</w:t>
      </w:r>
      <w:r>
        <w:rPr>
          <w:rFonts w:hint="eastAsia" w:ascii="Times New Roman" w:hAnsi="Times New Roman" w:eastAsia="仿宋_GB2312"/>
          <w:sz w:val="32"/>
          <w:szCs w:val="32"/>
        </w:rPr>
        <w:t>超</w:t>
      </w:r>
      <w:r>
        <w:rPr>
          <w:rFonts w:ascii="Times New Roman" w:hAnsi="Times New Roman" w:eastAsia="仿宋_GB2312"/>
          <w:sz w:val="32"/>
          <w:szCs w:val="32"/>
        </w:rPr>
        <w:t>标的原因，可能是</w:t>
      </w:r>
      <w:r>
        <w:rPr>
          <w:rFonts w:hint="eastAsia" w:ascii="Times New Roman" w:hAnsi="Times New Roman" w:eastAsia="仿宋_GB2312"/>
          <w:sz w:val="32"/>
          <w:szCs w:val="32"/>
        </w:rPr>
        <w:t>生产企业</w:t>
      </w:r>
      <w:r>
        <w:rPr>
          <w:rFonts w:ascii="Times New Roman" w:hAnsi="Times New Roman" w:eastAsia="仿宋_GB2312"/>
          <w:sz w:val="32"/>
          <w:szCs w:val="32"/>
        </w:rPr>
        <w:t>在生产加工过程中未严格控制各防腐剂的用量。</w:t>
      </w:r>
    </w:p>
    <w:p>
      <w:pPr>
        <w:autoSpaceDE w:val="0"/>
        <w:spacing w:line="594" w:lineRule="exact"/>
        <w:ind w:firstLine="640" w:firstLineChars="200"/>
        <w:rPr>
          <w:rFonts w:ascii="Times New Roman" w:hAnsi="Times New Roman" w:eastAsia="黑体" w:cstheme="minorBidi"/>
          <w:spacing w:val="-12"/>
          <w:sz w:val="32"/>
          <w:szCs w:val="32"/>
        </w:rPr>
      </w:pPr>
      <w:r>
        <w:rPr>
          <w:rFonts w:hint="eastAsia" w:ascii="Times New Roman" w:hAnsi="Times New Roman" w:eastAsia="黑体"/>
          <w:spacing w:val="0"/>
          <w:sz w:val="32"/>
          <w:szCs w:val="32"/>
        </w:rPr>
        <w:t>十</w:t>
      </w:r>
      <w:r>
        <w:rPr>
          <w:rFonts w:hint="eastAsia" w:ascii="Times New Roman" w:hAnsi="Times New Roman" w:eastAsia="黑体"/>
          <w:spacing w:val="0"/>
          <w:sz w:val="32"/>
          <w:szCs w:val="32"/>
          <w:lang w:eastAsia="zh-CN"/>
        </w:rPr>
        <w:t>四</w:t>
      </w:r>
      <w:r>
        <w:rPr>
          <w:rFonts w:hint="eastAsia" w:ascii="Times New Roman" w:hAnsi="Times New Roman" w:eastAsia="黑体"/>
          <w:spacing w:val="0"/>
          <w:sz w:val="32"/>
          <w:szCs w:val="32"/>
        </w:rPr>
        <w:t>、过氧化值（以脂肪计）</w:t>
      </w:r>
    </w:p>
    <w:p>
      <w:pPr>
        <w:autoSpaceDE w:val="0"/>
        <w:spacing w:line="594"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rPr>
        <w:t>过氧化值是油脂酸败的早期指标</w:t>
      </w:r>
      <w:r>
        <w:rPr>
          <w:rFonts w:hint="eastAsia" w:ascii="Times New Roman" w:hAnsi="Times New Roman" w:eastAsia="仿宋_GB2312"/>
          <w:sz w:val="32"/>
          <w:szCs w:val="32"/>
        </w:rPr>
        <w:t>，主要反映油脂被氧化的程度</w:t>
      </w:r>
      <w:r>
        <w:rPr>
          <w:rFonts w:ascii="Times New Roman" w:hAnsi="Times New Roman" w:eastAsia="仿宋_GB2312"/>
          <w:sz w:val="32"/>
          <w:szCs w:val="32"/>
        </w:rPr>
        <w:t>。</w:t>
      </w:r>
      <w:r>
        <w:rPr>
          <w:rFonts w:hint="eastAsia" w:ascii="Times New Roman" w:hAnsi="Times New Roman" w:eastAsia="仿宋_GB2312"/>
          <w:sz w:val="32"/>
          <w:szCs w:val="32"/>
        </w:rPr>
        <w:t>食用过氧化值超标的食品</w:t>
      </w:r>
      <w:r>
        <w:rPr>
          <w:rFonts w:ascii="Times New Roman" w:hAnsi="Times New Roman" w:eastAsia="仿宋_GB2312"/>
          <w:sz w:val="32"/>
          <w:szCs w:val="32"/>
        </w:rPr>
        <w:t>一般不会对人体</w:t>
      </w:r>
      <w:r>
        <w:rPr>
          <w:rFonts w:hint="eastAsia" w:ascii="Times New Roman" w:hAnsi="Times New Roman" w:eastAsia="仿宋_GB2312"/>
          <w:sz w:val="32"/>
          <w:szCs w:val="32"/>
        </w:rPr>
        <w:t>健康造成</w:t>
      </w:r>
      <w:r>
        <w:rPr>
          <w:rFonts w:ascii="Times New Roman" w:hAnsi="Times New Roman" w:eastAsia="仿宋_GB2312"/>
          <w:sz w:val="32"/>
          <w:szCs w:val="32"/>
        </w:rPr>
        <w:t>损害，但</w:t>
      </w:r>
      <w:r>
        <w:rPr>
          <w:rFonts w:hint="eastAsia" w:ascii="Times New Roman" w:hAnsi="Times New Roman" w:eastAsia="仿宋_GB2312"/>
          <w:sz w:val="32"/>
          <w:szCs w:val="32"/>
        </w:rPr>
        <w:t>长期</w:t>
      </w:r>
      <w:r>
        <w:rPr>
          <w:rFonts w:ascii="Times New Roman" w:hAnsi="Times New Roman" w:eastAsia="仿宋_GB2312"/>
          <w:sz w:val="32"/>
          <w:szCs w:val="32"/>
        </w:rPr>
        <w:t>食用过氧化值严重超标</w:t>
      </w:r>
      <w:r>
        <w:rPr>
          <w:rFonts w:hint="eastAsia" w:ascii="Times New Roman" w:hAnsi="Times New Roman" w:eastAsia="仿宋_GB2312"/>
          <w:sz w:val="32"/>
          <w:szCs w:val="32"/>
        </w:rPr>
        <w:t>的</w:t>
      </w:r>
      <w:r>
        <w:rPr>
          <w:rFonts w:ascii="Times New Roman" w:hAnsi="Times New Roman" w:eastAsia="仿宋_GB2312"/>
          <w:sz w:val="32"/>
          <w:szCs w:val="32"/>
        </w:rPr>
        <w:t>食品可能导致肠胃不适、腹泻等。</w:t>
      </w:r>
      <w:r>
        <w:rPr>
          <w:rFonts w:hint="eastAsia" w:ascii="Times New Roman" w:hAnsi="Times New Roman" w:eastAsia="仿宋_GB2312"/>
          <w:sz w:val="32"/>
          <w:szCs w:val="32"/>
        </w:rPr>
        <w:t>《食品安全国家标准 腌腊肉制品》（GB 2730—2015）中规定，腌腊肉制品中火腿、腊肉、咸肉、香（腊）肠的过氧化值（以脂肪计）最大限量值为0.5g/100g。腌腊肉制品中过氧化值（以脂肪计</w:t>
      </w:r>
      <w:r>
        <w:rPr>
          <w:rFonts w:hint="eastAsia" w:eastAsia="仿宋_GB2312"/>
          <w:sz w:val="32"/>
          <w:szCs w:val="32"/>
        </w:rPr>
        <w:t>）</w:t>
      </w:r>
      <w:r>
        <w:rPr>
          <w:rFonts w:hint="eastAsia" w:ascii="Times New Roman" w:hAnsi="Times New Roman" w:eastAsia="仿宋_GB2312"/>
          <w:sz w:val="32"/>
          <w:szCs w:val="32"/>
        </w:rPr>
        <w:t>检测值超标的原因，可能是原料中的脂肪已经被氧化，也可能与产品在储运过程中环境条件控制不当等有关。</w:t>
      </w:r>
    </w:p>
    <w:p>
      <w:pPr>
        <w:numPr>
          <w:ilvl w:val="255"/>
          <w:numId w:val="0"/>
        </w:numPr>
        <w:autoSpaceDE w:val="0"/>
        <w:spacing w:line="594" w:lineRule="exact"/>
        <w:ind w:firstLine="640" w:firstLineChars="200"/>
        <w:rPr>
          <w:rFonts w:hint="eastAsia" w:ascii="Times New Roman" w:hAnsi="Times New Roman" w:eastAsia="黑体"/>
          <w:spacing w:val="0"/>
          <w:sz w:val="32"/>
          <w:szCs w:val="32"/>
        </w:rPr>
      </w:pPr>
      <w:r>
        <w:rPr>
          <w:rFonts w:hint="eastAsia" w:ascii="Times New Roman" w:hAnsi="Times New Roman" w:eastAsia="黑体"/>
          <w:spacing w:val="0"/>
          <w:sz w:val="32"/>
          <w:szCs w:val="32"/>
        </w:rPr>
        <w:t>十</w:t>
      </w:r>
      <w:r>
        <w:rPr>
          <w:rFonts w:hint="eastAsia" w:ascii="Times New Roman" w:hAnsi="Times New Roman" w:eastAsia="黑体"/>
          <w:spacing w:val="0"/>
          <w:sz w:val="32"/>
          <w:szCs w:val="32"/>
          <w:lang w:eastAsia="zh-CN"/>
        </w:rPr>
        <w:t>五</w:t>
      </w:r>
      <w:r>
        <w:rPr>
          <w:rFonts w:hint="eastAsia" w:ascii="Times New Roman" w:hAnsi="Times New Roman" w:eastAsia="黑体"/>
          <w:spacing w:val="0"/>
          <w:sz w:val="32"/>
          <w:szCs w:val="32"/>
        </w:rPr>
        <w:t>、还原糖分</w:t>
      </w:r>
    </w:p>
    <w:p>
      <w:pPr>
        <w:spacing w:line="59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还原糖分是指具有还原性的糖类，包括葡萄糖、果糖、半乳糖、乳糖和麦芽糖等。还原糖分是食糖的品质指标之一，</w:t>
      </w:r>
      <w:r>
        <w:rPr>
          <w:rFonts w:hint="eastAsia" w:ascii="Times New Roman" w:hAnsi="Times New Roman" w:eastAsia="仿宋_GB2312" w:cs="仿宋_GB2312"/>
          <w:sz w:val="32"/>
          <w:szCs w:val="32"/>
        </w:rPr>
        <w:t>还原糖分高的食糖会影响产品的质量，易吸潮、不利于贮存</w:t>
      </w:r>
      <w:r>
        <w:rPr>
          <w:rFonts w:hint="eastAsia" w:ascii="Times New Roman" w:hAnsi="Times New Roman" w:eastAsia="仿宋_GB2312"/>
          <w:sz w:val="32"/>
          <w:szCs w:val="32"/>
        </w:rPr>
        <w:t>。</w:t>
      </w:r>
      <w:r>
        <w:rPr>
          <w:rFonts w:hint="eastAsia" w:eastAsia="仿宋_GB2312"/>
          <w:sz w:val="32"/>
          <w:szCs w:val="32"/>
        </w:rPr>
        <w:t>《</w:t>
      </w:r>
      <w:r>
        <w:rPr>
          <w:rFonts w:hint="eastAsia" w:ascii="Times New Roman" w:hAnsi="Times New Roman" w:eastAsia="仿宋_GB2312"/>
          <w:sz w:val="32"/>
          <w:szCs w:val="32"/>
        </w:rPr>
        <w:t>单晶体冰糖</w:t>
      </w:r>
      <w:r>
        <w:rPr>
          <w:rFonts w:hint="eastAsia" w:eastAsia="仿宋_GB2312"/>
          <w:sz w:val="32"/>
          <w:szCs w:val="32"/>
        </w:rPr>
        <w:t>》（</w:t>
      </w:r>
      <w:r>
        <w:rPr>
          <w:rFonts w:ascii="Times New Roman" w:hAnsi="Times New Roman" w:eastAsia="仿宋_GB2312"/>
          <w:sz w:val="32"/>
          <w:szCs w:val="32"/>
        </w:rPr>
        <w:t>QB/T 1173</w:t>
      </w:r>
      <w:r>
        <w:rPr>
          <w:rFonts w:hint="eastAsia" w:ascii="Times New Roman" w:hAnsi="Times New Roman" w:eastAsia="仿宋_GB2312"/>
          <w:sz w:val="32"/>
          <w:szCs w:val="32"/>
        </w:rPr>
        <w:t>—</w:t>
      </w:r>
      <w:r>
        <w:rPr>
          <w:rFonts w:ascii="Times New Roman" w:hAnsi="Times New Roman" w:eastAsia="仿宋_GB2312"/>
          <w:sz w:val="32"/>
          <w:szCs w:val="32"/>
        </w:rPr>
        <w:t>2002</w:t>
      </w:r>
      <w:r>
        <w:rPr>
          <w:rFonts w:hint="eastAsia" w:ascii="宋体" w:hAnsi="宋体" w:eastAsia="宋体" w:cs="宋体"/>
          <w:sz w:val="32"/>
          <w:szCs w:val="32"/>
        </w:rPr>
        <w:t>〔</w:t>
      </w:r>
      <w:r>
        <w:rPr>
          <w:rFonts w:ascii="Times New Roman" w:hAnsi="Times New Roman" w:eastAsia="仿宋_GB2312"/>
          <w:sz w:val="32"/>
          <w:szCs w:val="32"/>
        </w:rPr>
        <w:t>2017</w:t>
      </w:r>
      <w:r>
        <w:rPr>
          <w:rFonts w:hint="eastAsia" w:ascii="宋体" w:hAnsi="宋体" w:eastAsia="宋体" w:cs="宋体"/>
          <w:sz w:val="32"/>
          <w:szCs w:val="32"/>
        </w:rPr>
        <w:t>〕</w:t>
      </w:r>
      <w:r>
        <w:rPr>
          <w:rFonts w:hint="eastAsia" w:eastAsia="仿宋_GB2312"/>
          <w:sz w:val="32"/>
          <w:szCs w:val="32"/>
        </w:rPr>
        <w:t>）</w:t>
      </w:r>
      <w:r>
        <w:rPr>
          <w:rFonts w:hint="eastAsia" w:ascii="Times New Roman" w:hAnsi="Times New Roman" w:eastAsia="仿宋_GB2312"/>
          <w:sz w:val="32"/>
          <w:szCs w:val="32"/>
        </w:rPr>
        <w:t>中规定，质量等级为合格的单晶体冰糖中还原糖分应≤</w:t>
      </w:r>
      <w:r>
        <w:rPr>
          <w:rFonts w:ascii="Times New Roman" w:hAnsi="Times New Roman" w:eastAsia="仿宋_GB2312"/>
          <w:sz w:val="32"/>
          <w:szCs w:val="32"/>
        </w:rPr>
        <w:t>0.12%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单晶冰糖中</w:t>
      </w:r>
      <w:r>
        <w:rPr>
          <w:rFonts w:hint="eastAsia" w:ascii="Times New Roman" w:hAnsi="Times New Roman" w:eastAsia="仿宋_GB2312"/>
          <w:sz w:val="32"/>
          <w:szCs w:val="32"/>
        </w:rPr>
        <w:t>还原糖分</w:t>
      </w:r>
      <w:r>
        <w:rPr>
          <w:rFonts w:hint="eastAsia" w:ascii="Times New Roman" w:hAnsi="Times New Roman" w:eastAsia="仿宋_GB2312"/>
          <w:sz w:val="32"/>
          <w:szCs w:val="32"/>
          <w:lang w:eastAsia="zh-CN"/>
        </w:rPr>
        <w:t>检测值</w:t>
      </w:r>
      <w:r>
        <w:rPr>
          <w:rFonts w:hint="eastAsia" w:ascii="Times New Roman" w:hAnsi="Times New Roman" w:eastAsia="仿宋_GB2312"/>
          <w:sz w:val="32"/>
          <w:szCs w:val="32"/>
        </w:rPr>
        <w:t>不合格的原因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可能是原料纯度不高、生产工艺控制不当等原因造成的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也可能与运输、储存条件控制不当等有关。</w:t>
      </w:r>
    </w:p>
    <w:p>
      <w:pPr>
        <w:numPr>
          <w:ilvl w:val="255"/>
          <w:numId w:val="0"/>
        </w:numPr>
        <w:autoSpaceDE w:val="0"/>
        <w:spacing w:line="594" w:lineRule="exact"/>
        <w:ind w:firstLine="640" w:firstLineChars="200"/>
        <w:rPr>
          <w:rFonts w:hint="eastAsia" w:ascii="Times New Roman" w:hAnsi="Times New Roman" w:eastAsia="黑体"/>
          <w:spacing w:val="0"/>
          <w:sz w:val="32"/>
          <w:szCs w:val="32"/>
        </w:rPr>
      </w:pPr>
      <w:r>
        <w:rPr>
          <w:rFonts w:hint="eastAsia" w:ascii="Times New Roman" w:hAnsi="Times New Roman" w:eastAsia="黑体"/>
          <w:spacing w:val="0"/>
          <w:sz w:val="32"/>
          <w:szCs w:val="32"/>
        </w:rPr>
        <w:t>十</w:t>
      </w:r>
      <w:r>
        <w:rPr>
          <w:rFonts w:hint="eastAsia" w:ascii="Times New Roman" w:hAnsi="Times New Roman" w:eastAsia="黑体"/>
          <w:spacing w:val="0"/>
          <w:sz w:val="32"/>
          <w:szCs w:val="32"/>
          <w:lang w:eastAsia="zh-CN"/>
        </w:rPr>
        <w:t>六</w:t>
      </w:r>
      <w:r>
        <w:rPr>
          <w:rFonts w:hint="eastAsia" w:ascii="Times New Roman" w:hAnsi="Times New Roman" w:eastAsia="黑体"/>
          <w:spacing w:val="0"/>
          <w:sz w:val="32"/>
          <w:szCs w:val="32"/>
        </w:rPr>
        <w:t>、色值</w:t>
      </w:r>
    </w:p>
    <w:p>
      <w:pPr>
        <w:spacing w:line="594"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色值是食糖的品质指标之一，是白砂糖、绵白糖、冰糖等质量等级划分的主要依据之一，它主要影响糖品的外观，是杂质多寡的一种反映，也是生产工艺水平的一种体现。《白砂糖》（GB/T 317—2018）中规定，一级白砂糖的色值最大值不得超过150IU。白砂糖中色值</w:t>
      </w:r>
      <w:r>
        <w:rPr>
          <w:rFonts w:hint="eastAsia" w:ascii="Times New Roman" w:hAnsi="Times New Roman" w:eastAsia="仿宋_GB2312"/>
          <w:kern w:val="0"/>
          <w:sz w:val="32"/>
          <w:szCs w:val="32"/>
          <w:lang w:eastAsia="zh-CN"/>
        </w:rPr>
        <w:t>检测值</w:t>
      </w:r>
      <w:r>
        <w:rPr>
          <w:rFonts w:hint="eastAsia" w:ascii="Times New Roman" w:hAnsi="Times New Roman" w:eastAsia="仿宋_GB2312"/>
          <w:kern w:val="0"/>
          <w:sz w:val="32"/>
          <w:szCs w:val="32"/>
        </w:rPr>
        <w:t>超标的原因，可能是生产企业关键工艺控制不当、食糖储运条件不佳等。</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17DBA1-0983-4A0E-B1F4-F466B55E21A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9F4FF78-22A3-45EF-8855-DA6E50F56EC9}"/>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3" w:fontKey="{115E30BE-830E-4BEB-8C3C-D34628CC4C24}"/>
  </w:font>
  <w:font w:name="仿宋_GB2312">
    <w:panose1 w:val="02010609030101010101"/>
    <w:charset w:val="86"/>
    <w:family w:val="modern"/>
    <w:pitch w:val="default"/>
    <w:sig w:usb0="00000001" w:usb1="080E0000" w:usb2="00000000" w:usb3="00000000" w:csb0="00040000" w:csb1="00000000"/>
    <w:embedRegular r:id="rId4" w:fontKey="{5AF19D83-A0A8-40C1-AF10-A1489BB0F828}"/>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0827681"/>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TrueTypeFonts/>
  <w:saveSubsetFonts/>
  <w:bordersDoNotSurroundHeader w:val="1"/>
  <w:bordersDoNotSurroundFooter w:val="1"/>
  <w:attachedTemplate r:id="rId1"/>
  <w:revisionView w:markup="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85137"/>
    <w:rsid w:val="000119D5"/>
    <w:rsid w:val="00013131"/>
    <w:rsid w:val="0001675E"/>
    <w:rsid w:val="000276F3"/>
    <w:rsid w:val="00045657"/>
    <w:rsid w:val="000865F0"/>
    <w:rsid w:val="000868BD"/>
    <w:rsid w:val="0009071C"/>
    <w:rsid w:val="000B4DCF"/>
    <w:rsid w:val="000D132D"/>
    <w:rsid w:val="000D45CC"/>
    <w:rsid w:val="0010777E"/>
    <w:rsid w:val="00113C75"/>
    <w:rsid w:val="00142BDE"/>
    <w:rsid w:val="00143A72"/>
    <w:rsid w:val="0015252A"/>
    <w:rsid w:val="0015345E"/>
    <w:rsid w:val="00187621"/>
    <w:rsid w:val="001A4582"/>
    <w:rsid w:val="00210ED0"/>
    <w:rsid w:val="00215831"/>
    <w:rsid w:val="00217ABC"/>
    <w:rsid w:val="00234ABA"/>
    <w:rsid w:val="00246464"/>
    <w:rsid w:val="00256527"/>
    <w:rsid w:val="00257728"/>
    <w:rsid w:val="00263FF9"/>
    <w:rsid w:val="002743AC"/>
    <w:rsid w:val="00277B20"/>
    <w:rsid w:val="0029033E"/>
    <w:rsid w:val="002A236C"/>
    <w:rsid w:val="002C0DD0"/>
    <w:rsid w:val="00301086"/>
    <w:rsid w:val="00301116"/>
    <w:rsid w:val="00307C65"/>
    <w:rsid w:val="003213BD"/>
    <w:rsid w:val="00321CDC"/>
    <w:rsid w:val="00323CA5"/>
    <w:rsid w:val="00326DF3"/>
    <w:rsid w:val="00360E93"/>
    <w:rsid w:val="00362657"/>
    <w:rsid w:val="003667E2"/>
    <w:rsid w:val="00366A48"/>
    <w:rsid w:val="00370A93"/>
    <w:rsid w:val="003863E8"/>
    <w:rsid w:val="003B6975"/>
    <w:rsid w:val="003B6CD4"/>
    <w:rsid w:val="003E0B8E"/>
    <w:rsid w:val="003E6E1B"/>
    <w:rsid w:val="00407D86"/>
    <w:rsid w:val="00425E6A"/>
    <w:rsid w:val="00430F5B"/>
    <w:rsid w:val="00447299"/>
    <w:rsid w:val="00457F63"/>
    <w:rsid w:val="0046024A"/>
    <w:rsid w:val="00467236"/>
    <w:rsid w:val="004740F8"/>
    <w:rsid w:val="004B5AC9"/>
    <w:rsid w:val="004C48B9"/>
    <w:rsid w:val="004D036B"/>
    <w:rsid w:val="004D0CC7"/>
    <w:rsid w:val="004D43FF"/>
    <w:rsid w:val="004E1734"/>
    <w:rsid w:val="004F4A86"/>
    <w:rsid w:val="00500BF9"/>
    <w:rsid w:val="005018C5"/>
    <w:rsid w:val="00503DE6"/>
    <w:rsid w:val="00506671"/>
    <w:rsid w:val="00514B88"/>
    <w:rsid w:val="005173C3"/>
    <w:rsid w:val="0052066A"/>
    <w:rsid w:val="005216E2"/>
    <w:rsid w:val="00521819"/>
    <w:rsid w:val="005341A4"/>
    <w:rsid w:val="00557165"/>
    <w:rsid w:val="00565D70"/>
    <w:rsid w:val="00576235"/>
    <w:rsid w:val="0057719D"/>
    <w:rsid w:val="005A6A35"/>
    <w:rsid w:val="005A758A"/>
    <w:rsid w:val="005A76B7"/>
    <w:rsid w:val="005C0139"/>
    <w:rsid w:val="005C3955"/>
    <w:rsid w:val="005D3FA0"/>
    <w:rsid w:val="005E14C1"/>
    <w:rsid w:val="005E7727"/>
    <w:rsid w:val="00603050"/>
    <w:rsid w:val="00643647"/>
    <w:rsid w:val="00647120"/>
    <w:rsid w:val="00655158"/>
    <w:rsid w:val="006655DE"/>
    <w:rsid w:val="006859CF"/>
    <w:rsid w:val="006966C0"/>
    <w:rsid w:val="006C2A77"/>
    <w:rsid w:val="006C69E7"/>
    <w:rsid w:val="006C6D08"/>
    <w:rsid w:val="006E0279"/>
    <w:rsid w:val="006E25C7"/>
    <w:rsid w:val="006E3529"/>
    <w:rsid w:val="00705DDD"/>
    <w:rsid w:val="007114C3"/>
    <w:rsid w:val="00716E8E"/>
    <w:rsid w:val="00724357"/>
    <w:rsid w:val="007316ED"/>
    <w:rsid w:val="00741E8B"/>
    <w:rsid w:val="00742D85"/>
    <w:rsid w:val="007522CB"/>
    <w:rsid w:val="0076297A"/>
    <w:rsid w:val="00770396"/>
    <w:rsid w:val="00773350"/>
    <w:rsid w:val="00780627"/>
    <w:rsid w:val="00794576"/>
    <w:rsid w:val="007A642B"/>
    <w:rsid w:val="007C55DC"/>
    <w:rsid w:val="00800E6D"/>
    <w:rsid w:val="0080410A"/>
    <w:rsid w:val="00821EE7"/>
    <w:rsid w:val="008401A9"/>
    <w:rsid w:val="00845504"/>
    <w:rsid w:val="00846448"/>
    <w:rsid w:val="0086099A"/>
    <w:rsid w:val="0086320C"/>
    <w:rsid w:val="008901C0"/>
    <w:rsid w:val="00897065"/>
    <w:rsid w:val="008A48FA"/>
    <w:rsid w:val="008A5021"/>
    <w:rsid w:val="008B15D7"/>
    <w:rsid w:val="008B1E52"/>
    <w:rsid w:val="008C1364"/>
    <w:rsid w:val="008E1D3F"/>
    <w:rsid w:val="008E32F5"/>
    <w:rsid w:val="008E5099"/>
    <w:rsid w:val="008E55EB"/>
    <w:rsid w:val="008F021C"/>
    <w:rsid w:val="00900777"/>
    <w:rsid w:val="00905B8C"/>
    <w:rsid w:val="00912BB6"/>
    <w:rsid w:val="00920C7D"/>
    <w:rsid w:val="0093073B"/>
    <w:rsid w:val="00936B0D"/>
    <w:rsid w:val="00937B58"/>
    <w:rsid w:val="00940C37"/>
    <w:rsid w:val="00952FF2"/>
    <w:rsid w:val="00953C97"/>
    <w:rsid w:val="00960313"/>
    <w:rsid w:val="00970BC3"/>
    <w:rsid w:val="00974858"/>
    <w:rsid w:val="009B4783"/>
    <w:rsid w:val="009C5758"/>
    <w:rsid w:val="009D7EE3"/>
    <w:rsid w:val="009E318E"/>
    <w:rsid w:val="00A010B9"/>
    <w:rsid w:val="00A0353B"/>
    <w:rsid w:val="00A161D0"/>
    <w:rsid w:val="00A22D01"/>
    <w:rsid w:val="00A30A9E"/>
    <w:rsid w:val="00A44697"/>
    <w:rsid w:val="00A636E2"/>
    <w:rsid w:val="00A8267D"/>
    <w:rsid w:val="00A9060C"/>
    <w:rsid w:val="00A93A64"/>
    <w:rsid w:val="00AA1D13"/>
    <w:rsid w:val="00AB67AC"/>
    <w:rsid w:val="00AC1A0F"/>
    <w:rsid w:val="00AC3F08"/>
    <w:rsid w:val="00AC4E9F"/>
    <w:rsid w:val="00AD12C6"/>
    <w:rsid w:val="00AD2448"/>
    <w:rsid w:val="00AD27DE"/>
    <w:rsid w:val="00AD3EE2"/>
    <w:rsid w:val="00AD581A"/>
    <w:rsid w:val="00AD6ACD"/>
    <w:rsid w:val="00AD74BD"/>
    <w:rsid w:val="00AE159F"/>
    <w:rsid w:val="00AE2315"/>
    <w:rsid w:val="00AE714E"/>
    <w:rsid w:val="00AF13B3"/>
    <w:rsid w:val="00B11ADD"/>
    <w:rsid w:val="00B120F7"/>
    <w:rsid w:val="00B253D1"/>
    <w:rsid w:val="00B362BA"/>
    <w:rsid w:val="00B46849"/>
    <w:rsid w:val="00B46BD1"/>
    <w:rsid w:val="00B72998"/>
    <w:rsid w:val="00B84C80"/>
    <w:rsid w:val="00B86D48"/>
    <w:rsid w:val="00BA3087"/>
    <w:rsid w:val="00BA3536"/>
    <w:rsid w:val="00BB0DB0"/>
    <w:rsid w:val="00BC774B"/>
    <w:rsid w:val="00BD226E"/>
    <w:rsid w:val="00BD4410"/>
    <w:rsid w:val="00BE2953"/>
    <w:rsid w:val="00BE2FC4"/>
    <w:rsid w:val="00BF347C"/>
    <w:rsid w:val="00C014BF"/>
    <w:rsid w:val="00C05113"/>
    <w:rsid w:val="00C10C4F"/>
    <w:rsid w:val="00C34DC8"/>
    <w:rsid w:val="00C36040"/>
    <w:rsid w:val="00C65F31"/>
    <w:rsid w:val="00C75EA8"/>
    <w:rsid w:val="00C86322"/>
    <w:rsid w:val="00C9799C"/>
    <w:rsid w:val="00CA06A5"/>
    <w:rsid w:val="00CA268A"/>
    <w:rsid w:val="00CB78B8"/>
    <w:rsid w:val="00CD2A83"/>
    <w:rsid w:val="00CE2C80"/>
    <w:rsid w:val="00CE7D8E"/>
    <w:rsid w:val="00D10F03"/>
    <w:rsid w:val="00D501B0"/>
    <w:rsid w:val="00D5279F"/>
    <w:rsid w:val="00D53F4C"/>
    <w:rsid w:val="00D5477A"/>
    <w:rsid w:val="00D737F2"/>
    <w:rsid w:val="00D83AA0"/>
    <w:rsid w:val="00D87B22"/>
    <w:rsid w:val="00D90BFE"/>
    <w:rsid w:val="00D93034"/>
    <w:rsid w:val="00DA0BCC"/>
    <w:rsid w:val="00DB0E94"/>
    <w:rsid w:val="00DB28D3"/>
    <w:rsid w:val="00DD0CC3"/>
    <w:rsid w:val="00DD3B20"/>
    <w:rsid w:val="00DD476E"/>
    <w:rsid w:val="00DD733F"/>
    <w:rsid w:val="00E00F1F"/>
    <w:rsid w:val="00E1609A"/>
    <w:rsid w:val="00E21F73"/>
    <w:rsid w:val="00E37B65"/>
    <w:rsid w:val="00E43414"/>
    <w:rsid w:val="00E477FC"/>
    <w:rsid w:val="00E51E77"/>
    <w:rsid w:val="00E5774B"/>
    <w:rsid w:val="00E75193"/>
    <w:rsid w:val="00E8121D"/>
    <w:rsid w:val="00E82C94"/>
    <w:rsid w:val="00E83B40"/>
    <w:rsid w:val="00EA40D3"/>
    <w:rsid w:val="00EA6C22"/>
    <w:rsid w:val="00EA77E3"/>
    <w:rsid w:val="00EC1198"/>
    <w:rsid w:val="00ED0DA7"/>
    <w:rsid w:val="00ED21A0"/>
    <w:rsid w:val="00ED4AE9"/>
    <w:rsid w:val="00ED55E6"/>
    <w:rsid w:val="00EF5292"/>
    <w:rsid w:val="00EF6B02"/>
    <w:rsid w:val="00F038BB"/>
    <w:rsid w:val="00F05932"/>
    <w:rsid w:val="00F075AE"/>
    <w:rsid w:val="00F1347C"/>
    <w:rsid w:val="00F175B8"/>
    <w:rsid w:val="00F71B8E"/>
    <w:rsid w:val="00F80202"/>
    <w:rsid w:val="00F97F8C"/>
    <w:rsid w:val="00FA490E"/>
    <w:rsid w:val="00FB1DE2"/>
    <w:rsid w:val="02A872B6"/>
    <w:rsid w:val="02E57613"/>
    <w:rsid w:val="0F984B25"/>
    <w:rsid w:val="150E22AA"/>
    <w:rsid w:val="15B85137"/>
    <w:rsid w:val="16041BA6"/>
    <w:rsid w:val="1A295A66"/>
    <w:rsid w:val="1FC10D73"/>
    <w:rsid w:val="2A191C3A"/>
    <w:rsid w:val="2CA60728"/>
    <w:rsid w:val="2DE7759F"/>
    <w:rsid w:val="2FDD5347"/>
    <w:rsid w:val="3415539D"/>
    <w:rsid w:val="34847E60"/>
    <w:rsid w:val="361B61C7"/>
    <w:rsid w:val="3ECA4CD4"/>
    <w:rsid w:val="479E0D55"/>
    <w:rsid w:val="4AFE195C"/>
    <w:rsid w:val="4B5562A0"/>
    <w:rsid w:val="4BC323F1"/>
    <w:rsid w:val="4C314B6D"/>
    <w:rsid w:val="4C344411"/>
    <w:rsid w:val="532E3A5B"/>
    <w:rsid w:val="5A5862E6"/>
    <w:rsid w:val="5B0203A0"/>
    <w:rsid w:val="60FD15F7"/>
    <w:rsid w:val="69514F68"/>
    <w:rsid w:val="69D01709"/>
    <w:rsid w:val="6A7A5576"/>
    <w:rsid w:val="6AE75A7A"/>
    <w:rsid w:val="6D535020"/>
    <w:rsid w:val="6E0005AE"/>
    <w:rsid w:val="6ED3511D"/>
    <w:rsid w:val="74A44FDB"/>
    <w:rsid w:val="75856B41"/>
    <w:rsid w:val="7CCD4AFB"/>
    <w:rsid w:val="7D24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6"/>
    <w:qFormat/>
    <w:uiPriority w:val="0"/>
    <w:pPr>
      <w:spacing w:after="120"/>
      <w:ind w:left="420" w:leftChars="200"/>
    </w:pPr>
  </w:style>
  <w:style w:type="paragraph" w:styleId="3">
    <w:name w:val="Balloon Text"/>
    <w:basedOn w:val="1"/>
    <w:link w:val="11"/>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Body Text First Indent 2"/>
    <w:basedOn w:val="2"/>
    <w:link w:val="17"/>
    <w:qFormat/>
    <w:uiPriority w:val="0"/>
    <w:pPr>
      <w:adjustRightInd w:val="0"/>
      <w:ind w:left="0" w:leftChars="0" w:firstLine="880" w:firstLineChars="200"/>
    </w:pPr>
    <w:rPr>
      <w:rFonts w:eastAsia="仿宋"/>
      <w:sz w:val="32"/>
      <w:szCs w:val="22"/>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paragraph" w:customStyle="1" w:styleId="10">
    <w:name w:val="列出段落2"/>
    <w:basedOn w:val="1"/>
    <w:qFormat/>
    <w:uiPriority w:val="34"/>
    <w:pPr>
      <w:ind w:firstLine="420" w:firstLineChars="200"/>
    </w:pPr>
  </w:style>
  <w:style w:type="character" w:customStyle="1" w:styleId="11">
    <w:name w:val="批注框文本 字符"/>
    <w:basedOn w:val="8"/>
    <w:link w:val="3"/>
    <w:qFormat/>
    <w:uiPriority w:val="0"/>
    <w:rPr>
      <w:rFonts w:ascii="Calibri" w:hAnsi="Calibri" w:eastAsia="宋体" w:cs="Times New Roman"/>
      <w:kern w:val="2"/>
      <w:sz w:val="18"/>
      <w:szCs w:val="18"/>
    </w:rPr>
  </w:style>
  <w:style w:type="paragraph" w:styleId="12">
    <w:name w:val="List Paragraph"/>
    <w:basedOn w:val="1"/>
    <w:qFormat/>
    <w:uiPriority w:val="99"/>
    <w:pPr>
      <w:ind w:firstLine="420" w:firstLineChars="200"/>
    </w:pPr>
    <w:rPr>
      <w:szCs w:val="22"/>
    </w:rPr>
  </w:style>
  <w:style w:type="character" w:customStyle="1" w:styleId="13">
    <w:name w:val="页眉 字符"/>
    <w:basedOn w:val="8"/>
    <w:link w:val="6"/>
    <w:qFormat/>
    <w:uiPriority w:val="0"/>
    <w:rPr>
      <w:rFonts w:ascii="Calibri" w:hAnsi="Calibri" w:eastAsia="宋体" w:cs="Times New Roman"/>
      <w:kern w:val="2"/>
      <w:sz w:val="18"/>
      <w:szCs w:val="18"/>
    </w:rPr>
  </w:style>
  <w:style w:type="character" w:customStyle="1" w:styleId="14">
    <w:name w:val="页脚 字符"/>
    <w:basedOn w:val="8"/>
    <w:link w:val="4"/>
    <w:qFormat/>
    <w:uiPriority w:val="99"/>
    <w:rPr>
      <w:rFonts w:ascii="Calibri" w:hAnsi="Calibri" w:eastAsia="宋体" w:cs="Times New Roman"/>
      <w:kern w:val="2"/>
      <w:sz w:val="18"/>
      <w:szCs w:val="18"/>
    </w:rPr>
  </w:style>
  <w:style w:type="paragraph" w:customStyle="1" w:styleId="15">
    <w:name w:val="列出段落1"/>
    <w:basedOn w:val="1"/>
    <w:qFormat/>
    <w:uiPriority w:val="34"/>
    <w:pPr>
      <w:ind w:firstLine="420" w:firstLineChars="200"/>
    </w:pPr>
    <w:rPr>
      <w:szCs w:val="22"/>
    </w:rPr>
  </w:style>
  <w:style w:type="character" w:customStyle="1" w:styleId="16">
    <w:name w:val="正文文本缩进 字符"/>
    <w:basedOn w:val="8"/>
    <w:link w:val="2"/>
    <w:qFormat/>
    <w:uiPriority w:val="0"/>
    <w:rPr>
      <w:rFonts w:ascii="Calibri" w:hAnsi="Calibri" w:eastAsia="宋体" w:cs="Times New Roman"/>
      <w:kern w:val="2"/>
      <w:sz w:val="21"/>
      <w:szCs w:val="24"/>
    </w:rPr>
  </w:style>
  <w:style w:type="character" w:customStyle="1" w:styleId="17">
    <w:name w:val="正文文本首行缩进 2 字符"/>
    <w:basedOn w:val="16"/>
    <w:link w:val="5"/>
    <w:qFormat/>
    <w:uiPriority w:val="0"/>
    <w:rPr>
      <w:rFonts w:ascii="Calibri" w:hAnsi="Calibri" w:eastAsia="仿宋" w:cs="Times New Roman"/>
      <w:kern w:val="2"/>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9</Pages>
  <Words>696</Words>
  <Characters>3973</Characters>
  <Lines>33</Lines>
  <Paragraphs>9</Paragraphs>
  <TotalTime>17</TotalTime>
  <ScaleCrop>false</ScaleCrop>
  <LinksUpToDate>false</LinksUpToDate>
  <CharactersWithSpaces>4660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2018-10-19T06:08:00Z</dcterms:created>
  <dc:creator>Anonymous</dc:creator>
  <cp:lastModifiedBy>高晗</cp:lastModifiedBy>
  <cp:lastPrinted>2021-05-12T11:25:00Z</cp:lastPrinted>
  <dcterms:modified xsi:type="dcterms:W3CDTF">2021-06-08T07:51:33Z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